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23C7" w14:textId="5CB4C4A8" w:rsidR="00FD2BE4" w:rsidRPr="006F77BD" w:rsidRDefault="00814002" w:rsidP="00FD2BE4">
      <w:pPr>
        <w:pStyle w:val="Default"/>
        <w:rPr>
          <w:b/>
          <w:bCs/>
          <w:i/>
          <w:iCs/>
          <w:color w:val="FF0000"/>
          <w:sz w:val="22"/>
          <w:szCs w:val="22"/>
        </w:rPr>
      </w:pPr>
      <w:r w:rsidRPr="005B40AB">
        <w:rPr>
          <w:b/>
          <w:bCs/>
          <w:sz w:val="22"/>
          <w:szCs w:val="22"/>
        </w:rPr>
        <w:t xml:space="preserve">52.204-10 </w:t>
      </w:r>
      <w:r w:rsidR="00FD2BE4" w:rsidRPr="005B40AB">
        <w:rPr>
          <w:b/>
          <w:bCs/>
          <w:sz w:val="22"/>
          <w:szCs w:val="22"/>
        </w:rPr>
        <w:t>REPORTING EXECUTIVE COMPENSATION AND FIRST-TIER SUBCONTRACT AWARDS</w:t>
      </w:r>
      <w:r w:rsidR="00F03401" w:rsidRPr="005B40AB">
        <w:rPr>
          <w:b/>
          <w:bCs/>
          <w:sz w:val="22"/>
          <w:szCs w:val="22"/>
        </w:rPr>
        <w:t xml:space="preserve"> </w:t>
      </w:r>
      <w:r w:rsidR="006F77BD">
        <w:rPr>
          <w:b/>
          <w:bCs/>
          <w:i/>
          <w:iCs/>
          <w:color w:val="FF0000"/>
          <w:sz w:val="22"/>
          <w:szCs w:val="22"/>
        </w:rPr>
        <w:t>All proposals and subcontracts &gt; $30,000 only</w:t>
      </w:r>
    </w:p>
    <w:p w14:paraId="79F75438" w14:textId="77777777" w:rsidR="00FD2BE4" w:rsidRPr="005B40AB" w:rsidRDefault="00FD2BE4" w:rsidP="00FD2BE4">
      <w:pPr>
        <w:pStyle w:val="Default"/>
        <w:rPr>
          <w:b/>
          <w:bCs/>
          <w:sz w:val="22"/>
          <w:szCs w:val="22"/>
        </w:rPr>
      </w:pPr>
    </w:p>
    <w:p w14:paraId="2066DAC3" w14:textId="419F1F06" w:rsidR="00FD2BE4" w:rsidRPr="005B40AB" w:rsidRDefault="00FD2BE4" w:rsidP="00105B5E">
      <w:pPr>
        <w:pStyle w:val="Default"/>
        <w:jc w:val="both"/>
        <w:rPr>
          <w:sz w:val="22"/>
          <w:szCs w:val="22"/>
        </w:rPr>
      </w:pPr>
      <w:r w:rsidRPr="005B40AB">
        <w:rPr>
          <w:sz w:val="22"/>
          <w:szCs w:val="22"/>
        </w:rPr>
        <w:t>If a subcontract or purchase order award to Offeror has an expected value of $</w:t>
      </w:r>
      <w:r w:rsidR="00102AEA" w:rsidRPr="005B40AB">
        <w:rPr>
          <w:sz w:val="22"/>
          <w:szCs w:val="22"/>
        </w:rPr>
        <w:t>30</w:t>
      </w:r>
      <w:r w:rsidRPr="005B40AB">
        <w:rPr>
          <w:sz w:val="22"/>
          <w:szCs w:val="22"/>
        </w:rPr>
        <w:t xml:space="preserve">,000 or more in support of a prime contract which includes FAR 52.204-10, </w:t>
      </w:r>
      <w:r w:rsidR="00366E89" w:rsidRPr="005B40AB">
        <w:rPr>
          <w:sz w:val="22"/>
          <w:szCs w:val="22"/>
        </w:rPr>
        <w:t>Trevet</w:t>
      </w:r>
      <w:r w:rsidR="003F2F9B" w:rsidRPr="005B40AB">
        <w:rPr>
          <w:sz w:val="22"/>
          <w:szCs w:val="22"/>
        </w:rPr>
        <w:t xml:space="preserve"> </w:t>
      </w:r>
      <w:r w:rsidRPr="005B40AB">
        <w:rPr>
          <w:sz w:val="22"/>
          <w:szCs w:val="22"/>
        </w:rPr>
        <w:t xml:space="preserve">must, subject to certain exceptions, gather and publicly report information regarding the award. </w:t>
      </w:r>
    </w:p>
    <w:p w14:paraId="24E32C67" w14:textId="77777777" w:rsidR="00FD2BE4" w:rsidRPr="005B40AB" w:rsidRDefault="00FD2BE4" w:rsidP="00105B5E">
      <w:pPr>
        <w:pStyle w:val="Default"/>
        <w:jc w:val="both"/>
        <w:rPr>
          <w:sz w:val="22"/>
          <w:szCs w:val="22"/>
        </w:rPr>
      </w:pPr>
    </w:p>
    <w:p w14:paraId="3A2B42C9" w14:textId="77777777" w:rsidR="00FD2BE4" w:rsidRPr="005B40AB" w:rsidRDefault="00FD2BE4" w:rsidP="00105B5E">
      <w:pPr>
        <w:pStyle w:val="Default"/>
        <w:jc w:val="both"/>
        <w:rPr>
          <w:sz w:val="22"/>
          <w:szCs w:val="22"/>
        </w:rPr>
      </w:pPr>
      <w:r w:rsidRPr="005B40AB">
        <w:rPr>
          <w:sz w:val="22"/>
          <w:szCs w:val="22"/>
        </w:rPr>
        <w:t xml:space="preserve">Did Offeror have gross income under $300,000 in the previous tax year? </w:t>
      </w:r>
      <w:r w:rsidRPr="005B40AB">
        <w:rPr>
          <w:b/>
          <w:sz w:val="22"/>
          <w:szCs w:val="22"/>
        </w:rPr>
        <w:t xml:space="preserve"> Yes, (or) </w:t>
      </w:r>
      <w:r w:rsidRPr="005B40AB">
        <w:rPr>
          <w:b/>
          <w:sz w:val="22"/>
          <w:szCs w:val="22"/>
        </w:rPr>
        <w:t> No</w:t>
      </w:r>
      <w:r w:rsidRPr="005B40AB">
        <w:rPr>
          <w:sz w:val="22"/>
          <w:szCs w:val="22"/>
        </w:rPr>
        <w:t xml:space="preserve"> </w:t>
      </w:r>
    </w:p>
    <w:p w14:paraId="28ADEAEB" w14:textId="77777777" w:rsidR="00FD2BE4" w:rsidRPr="005B40AB" w:rsidRDefault="00FD2BE4" w:rsidP="00105B5E">
      <w:pPr>
        <w:pStyle w:val="Default"/>
        <w:jc w:val="both"/>
        <w:rPr>
          <w:sz w:val="22"/>
          <w:szCs w:val="22"/>
        </w:rPr>
      </w:pPr>
    </w:p>
    <w:p w14:paraId="331A014E" w14:textId="77777777" w:rsidR="00FD2BE4" w:rsidRPr="005B40AB" w:rsidRDefault="00FD2BE4" w:rsidP="00105B5E">
      <w:pPr>
        <w:pStyle w:val="Default"/>
        <w:jc w:val="both"/>
        <w:rPr>
          <w:sz w:val="22"/>
          <w:szCs w:val="22"/>
        </w:rPr>
      </w:pPr>
      <w:r w:rsidRPr="005B40AB">
        <w:rPr>
          <w:sz w:val="22"/>
          <w:szCs w:val="22"/>
        </w:rPr>
        <w:t>If Yes, Offeror is not required to complete the executive compensation section below. Please complete the Authorized Signature of Offeror section.</w:t>
      </w:r>
    </w:p>
    <w:p w14:paraId="07B0CF34" w14:textId="77777777" w:rsidR="00FD2BE4" w:rsidRPr="005B40AB" w:rsidRDefault="00FD2BE4" w:rsidP="00105B5E">
      <w:pPr>
        <w:pStyle w:val="Default"/>
        <w:jc w:val="both"/>
        <w:rPr>
          <w:sz w:val="22"/>
          <w:szCs w:val="22"/>
        </w:rPr>
      </w:pPr>
    </w:p>
    <w:p w14:paraId="2509A468" w14:textId="77777777" w:rsidR="00FD2BE4" w:rsidRPr="005B40AB" w:rsidRDefault="00FD2BE4" w:rsidP="00105B5E">
      <w:pPr>
        <w:pStyle w:val="Default"/>
        <w:jc w:val="both"/>
        <w:rPr>
          <w:sz w:val="22"/>
          <w:szCs w:val="22"/>
        </w:rPr>
      </w:pPr>
      <w:r w:rsidRPr="005B40AB">
        <w:rPr>
          <w:sz w:val="22"/>
          <w:szCs w:val="22"/>
        </w:rPr>
        <w:t>If No, Offeror must complete the executive compensation section below, as well as the Authorized Signature of Offeror section.</w:t>
      </w:r>
    </w:p>
    <w:p w14:paraId="7DF4EB31" w14:textId="77777777" w:rsidR="00FD2BE4" w:rsidRPr="005B40AB" w:rsidRDefault="00FD2BE4" w:rsidP="00105B5E">
      <w:pPr>
        <w:pStyle w:val="Default"/>
        <w:jc w:val="both"/>
        <w:rPr>
          <w:sz w:val="22"/>
          <w:szCs w:val="22"/>
        </w:rPr>
      </w:pPr>
    </w:p>
    <w:p w14:paraId="37EFA698" w14:textId="77777777" w:rsidR="00FD2BE4" w:rsidRPr="005B40AB" w:rsidRDefault="00FD2BE4" w:rsidP="00105B5E">
      <w:pPr>
        <w:pStyle w:val="Default"/>
        <w:jc w:val="both"/>
        <w:rPr>
          <w:sz w:val="22"/>
          <w:szCs w:val="22"/>
        </w:rPr>
      </w:pPr>
      <w:r w:rsidRPr="005B40AB">
        <w:rPr>
          <w:b/>
          <w:bCs/>
          <w:sz w:val="22"/>
          <w:szCs w:val="22"/>
        </w:rPr>
        <w:t xml:space="preserve">Total Compensation of Offeror's Executives </w:t>
      </w:r>
    </w:p>
    <w:p w14:paraId="3E9F40E0" w14:textId="77777777" w:rsidR="00F64699" w:rsidRPr="00F64699" w:rsidRDefault="00FD2BE4" w:rsidP="00F64699">
      <w:pPr>
        <w:pStyle w:val="listl1"/>
        <w:shd w:val="clear" w:color="auto" w:fill="FFFFFF"/>
        <w:ind w:firstLine="360"/>
        <w:jc w:val="both"/>
        <w:textAlignment w:val="baseline"/>
        <w:rPr>
          <w:color w:val="000000"/>
          <w:sz w:val="22"/>
          <w:szCs w:val="22"/>
        </w:rPr>
      </w:pPr>
      <w:r w:rsidRPr="00F64699">
        <w:rPr>
          <w:sz w:val="22"/>
          <w:szCs w:val="22"/>
        </w:rPr>
        <w:t>(</w:t>
      </w:r>
      <w:r w:rsidR="00F64699" w:rsidRPr="00F64699">
        <w:rPr>
          <w:color w:val="000000"/>
          <w:sz w:val="22"/>
          <w:szCs w:val="22"/>
          <w:bdr w:val="none" w:sz="0" w:space="0" w:color="auto" w:frame="1"/>
        </w:rPr>
        <w:t>(a)</w:t>
      </w:r>
      <w:r w:rsidR="00F64699" w:rsidRPr="00F64699">
        <w:rPr>
          <w:color w:val="000000"/>
          <w:sz w:val="22"/>
          <w:szCs w:val="22"/>
        </w:rPr>
        <w:t> </w:t>
      </w:r>
      <w:r w:rsidR="00F64699" w:rsidRPr="00F64699">
        <w:rPr>
          <w:i/>
          <w:iCs/>
          <w:color w:val="000000"/>
          <w:sz w:val="22"/>
          <w:szCs w:val="22"/>
          <w:bdr w:val="none" w:sz="0" w:space="0" w:color="auto" w:frame="1"/>
        </w:rPr>
        <w:t>Definitions</w:t>
      </w:r>
      <w:r w:rsidR="00F64699" w:rsidRPr="00F64699">
        <w:rPr>
          <w:color w:val="000000"/>
          <w:sz w:val="22"/>
          <w:szCs w:val="22"/>
        </w:rPr>
        <w:t>. As used in this clause:</w:t>
      </w:r>
    </w:p>
    <w:p w14:paraId="7E88A01F" w14:textId="77777777" w:rsidR="00F64699" w:rsidRPr="00F64699" w:rsidRDefault="00F64699" w:rsidP="00F64699">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i/>
          <w:iCs/>
          <w:color w:val="000000"/>
          <w:bdr w:val="none" w:sz="0" w:space="0" w:color="auto" w:frame="1"/>
        </w:rPr>
        <w:t>Executive</w:t>
      </w:r>
      <w:r w:rsidRPr="00F64699">
        <w:rPr>
          <w:rFonts w:ascii="Times New Roman" w:eastAsia="Times New Roman" w:hAnsi="Times New Roman" w:cs="Times New Roman"/>
          <w:color w:val="000000"/>
        </w:rPr>
        <w:t> means officers, managing partners, or any other employees in management positions.</w:t>
      </w:r>
    </w:p>
    <w:p w14:paraId="5A73C1CB" w14:textId="77777777" w:rsidR="00F64699" w:rsidRPr="00F64699" w:rsidRDefault="00F64699" w:rsidP="00F64699">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i/>
          <w:iCs/>
          <w:color w:val="000000"/>
          <w:bdr w:val="none" w:sz="0" w:space="0" w:color="auto" w:frame="1"/>
        </w:rPr>
        <w:t>First-tier subcontract</w:t>
      </w:r>
      <w:r w:rsidRPr="00F64699">
        <w:rPr>
          <w:rFonts w:ascii="Times New Roman" w:eastAsia="Times New Roman" w:hAnsi="Times New Roman" w:cs="Times New Roman"/>
          <w:color w:val="000000"/>
        </w:rPr>
        <w:t> means a subcontract awarded directly by the Contractor for the purpose of acquiring </w:t>
      </w:r>
      <w:r w:rsidRPr="00F64699">
        <w:rPr>
          <w:rFonts w:ascii="Times New Roman" w:eastAsia="Times New Roman" w:hAnsi="Times New Roman" w:cs="Times New Roman"/>
          <w:color w:val="000000"/>
          <w:bdr w:val="none" w:sz="0" w:space="0" w:color="auto" w:frame="1"/>
        </w:rPr>
        <w:t>supplies</w:t>
      </w:r>
      <w:r w:rsidRPr="00F64699">
        <w:rPr>
          <w:rFonts w:ascii="Times New Roman" w:eastAsia="Times New Roman" w:hAnsi="Times New Roman" w:cs="Times New Roman"/>
          <w:color w:val="000000"/>
        </w:rPr>
        <w:t> or services (including </w:t>
      </w:r>
      <w:r w:rsidRPr="00F64699">
        <w:rPr>
          <w:rFonts w:ascii="Times New Roman" w:eastAsia="Times New Roman" w:hAnsi="Times New Roman" w:cs="Times New Roman"/>
          <w:color w:val="000000"/>
          <w:bdr w:val="none" w:sz="0" w:space="0" w:color="auto" w:frame="1"/>
        </w:rPr>
        <w:t>construction</w:t>
      </w:r>
      <w:r w:rsidRPr="00F64699">
        <w:rPr>
          <w:rFonts w:ascii="Times New Roman" w:eastAsia="Times New Roman" w:hAnsi="Times New Roman" w:cs="Times New Roman"/>
          <w:color w:val="000000"/>
        </w:rPr>
        <w:t>) for performance of a prime contract. It does not include the Contractor’s supplier agreements with vendors, such as long-term arrangements for materials or </w:t>
      </w:r>
      <w:r w:rsidRPr="00F64699">
        <w:rPr>
          <w:rFonts w:ascii="Times New Roman" w:eastAsia="Times New Roman" w:hAnsi="Times New Roman" w:cs="Times New Roman"/>
          <w:color w:val="000000"/>
          <w:bdr w:val="none" w:sz="0" w:space="0" w:color="auto" w:frame="1"/>
        </w:rPr>
        <w:t>supplies</w:t>
      </w:r>
      <w:r w:rsidRPr="00F64699">
        <w:rPr>
          <w:rFonts w:ascii="Times New Roman" w:eastAsia="Times New Roman" w:hAnsi="Times New Roman" w:cs="Times New Roman"/>
          <w:color w:val="000000"/>
        </w:rPr>
        <w:t> that benefit multiple contracts and/or the costs of which are normally applied to a Contractor’s general and administrative expenses or </w:t>
      </w:r>
      <w:r w:rsidRPr="00F64699">
        <w:rPr>
          <w:rFonts w:ascii="Times New Roman" w:eastAsia="Times New Roman" w:hAnsi="Times New Roman" w:cs="Times New Roman"/>
          <w:color w:val="000000"/>
          <w:bdr w:val="none" w:sz="0" w:space="0" w:color="auto" w:frame="1"/>
        </w:rPr>
        <w:t>indirect costs</w:t>
      </w:r>
      <w:r w:rsidRPr="00F64699">
        <w:rPr>
          <w:rFonts w:ascii="Times New Roman" w:eastAsia="Times New Roman" w:hAnsi="Times New Roman" w:cs="Times New Roman"/>
          <w:color w:val="000000"/>
        </w:rPr>
        <w:t>.</w:t>
      </w:r>
    </w:p>
    <w:p w14:paraId="25DE5E64" w14:textId="77777777" w:rsidR="00F64699" w:rsidRPr="00F64699" w:rsidRDefault="00F64699" w:rsidP="00F64699">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000000"/>
        </w:rPr>
      </w:pPr>
      <w:proofErr w:type="gramStart"/>
      <w:r w:rsidRPr="00F64699">
        <w:rPr>
          <w:rFonts w:ascii="Times New Roman" w:eastAsia="Times New Roman" w:hAnsi="Times New Roman" w:cs="Times New Roman"/>
          <w:i/>
          <w:iCs/>
          <w:color w:val="000000"/>
          <w:bdr w:val="none" w:sz="0" w:space="0" w:color="auto" w:frame="1"/>
        </w:rPr>
        <w:t>Month</w:t>
      </w:r>
      <w:proofErr w:type="gramEnd"/>
      <w:r w:rsidRPr="00F64699">
        <w:rPr>
          <w:rFonts w:ascii="Times New Roman" w:eastAsia="Times New Roman" w:hAnsi="Times New Roman" w:cs="Times New Roman"/>
          <w:i/>
          <w:iCs/>
          <w:color w:val="000000"/>
          <w:bdr w:val="none" w:sz="0" w:space="0" w:color="auto" w:frame="1"/>
        </w:rPr>
        <w:t xml:space="preserve"> of award</w:t>
      </w:r>
      <w:r w:rsidRPr="00F64699">
        <w:rPr>
          <w:rFonts w:ascii="Times New Roman" w:eastAsia="Times New Roman" w:hAnsi="Times New Roman" w:cs="Times New Roman"/>
          <w:color w:val="000000"/>
        </w:rPr>
        <w:t> means the month in which a contract is signed by the </w:t>
      </w:r>
      <w:r w:rsidRPr="00F64699">
        <w:rPr>
          <w:rFonts w:ascii="Times New Roman" w:eastAsia="Times New Roman" w:hAnsi="Times New Roman" w:cs="Times New Roman"/>
          <w:color w:val="000000"/>
          <w:bdr w:val="none" w:sz="0" w:space="0" w:color="auto" w:frame="1"/>
        </w:rPr>
        <w:t>Contracting Officer</w:t>
      </w:r>
      <w:r w:rsidRPr="00F64699">
        <w:rPr>
          <w:rFonts w:ascii="Times New Roman" w:eastAsia="Times New Roman" w:hAnsi="Times New Roman" w:cs="Times New Roman"/>
          <w:color w:val="000000"/>
        </w:rPr>
        <w:t> or the month in which a </w:t>
      </w:r>
      <w:r w:rsidRPr="00F64699">
        <w:rPr>
          <w:rFonts w:ascii="Times New Roman" w:eastAsia="Times New Roman" w:hAnsi="Times New Roman" w:cs="Times New Roman"/>
          <w:color w:val="000000"/>
          <w:bdr w:val="none" w:sz="0" w:space="0" w:color="auto" w:frame="1"/>
        </w:rPr>
        <w:t>first-tier subcontract</w:t>
      </w:r>
      <w:r w:rsidRPr="00F64699">
        <w:rPr>
          <w:rFonts w:ascii="Times New Roman" w:eastAsia="Times New Roman" w:hAnsi="Times New Roman" w:cs="Times New Roman"/>
          <w:color w:val="000000"/>
        </w:rPr>
        <w:t> is signed by the Contractor.</w:t>
      </w:r>
    </w:p>
    <w:p w14:paraId="5ED7ED68" w14:textId="77777777" w:rsidR="00F64699" w:rsidRPr="00F64699" w:rsidRDefault="00F64699" w:rsidP="00F64699">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i/>
          <w:iCs/>
          <w:color w:val="000000"/>
          <w:bdr w:val="none" w:sz="0" w:space="0" w:color="auto" w:frame="1"/>
        </w:rPr>
        <w:t>Total compensation</w:t>
      </w:r>
      <w:r w:rsidRPr="00F64699">
        <w:rPr>
          <w:rFonts w:ascii="Times New Roman" w:eastAsia="Times New Roman" w:hAnsi="Times New Roman" w:cs="Times New Roman"/>
          <w:color w:val="000000"/>
        </w:rPr>
        <w:t> means the cash and noncash dollar value earned by the </w:t>
      </w:r>
      <w:r w:rsidRPr="00F64699">
        <w:rPr>
          <w:rFonts w:ascii="Times New Roman" w:eastAsia="Times New Roman" w:hAnsi="Times New Roman" w:cs="Times New Roman"/>
          <w:color w:val="000000"/>
          <w:bdr w:val="none" w:sz="0" w:space="0" w:color="auto" w:frame="1"/>
        </w:rPr>
        <w:t>executive</w:t>
      </w:r>
      <w:r w:rsidRPr="00F64699">
        <w:rPr>
          <w:rFonts w:ascii="Times New Roman" w:eastAsia="Times New Roman" w:hAnsi="Times New Roman" w:cs="Times New Roman"/>
          <w:color w:val="000000"/>
        </w:rPr>
        <w:t> during the Contractor’s preceding fiscal year and includes the following (for more information see </w:t>
      </w:r>
      <w:r w:rsidRPr="00F64699">
        <w:rPr>
          <w:rFonts w:ascii="Times New Roman" w:eastAsia="Times New Roman" w:hAnsi="Times New Roman" w:cs="Times New Roman"/>
          <w:color w:val="000000"/>
          <w:bdr w:val="none" w:sz="0" w:space="0" w:color="auto" w:frame="1"/>
        </w:rPr>
        <w:t>17 CFR 229.402(c)(2)</w:t>
      </w:r>
      <w:r w:rsidRPr="00F64699">
        <w:rPr>
          <w:rFonts w:ascii="Times New Roman" w:eastAsia="Times New Roman" w:hAnsi="Times New Roman" w:cs="Times New Roman"/>
          <w:color w:val="000000"/>
        </w:rPr>
        <w:t>):</w:t>
      </w:r>
    </w:p>
    <w:p w14:paraId="1CBB88C6" w14:textId="77777777" w:rsidR="00F64699" w:rsidRPr="00F64699" w:rsidRDefault="00F64699" w:rsidP="00F64699">
      <w:pPr>
        <w:shd w:val="clear" w:color="auto" w:fill="FFFFFF"/>
        <w:spacing w:after="120" w:line="240" w:lineRule="auto"/>
        <w:ind w:firstLine="72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color w:val="000000"/>
          <w:bdr w:val="none" w:sz="0" w:space="0" w:color="auto" w:frame="1"/>
        </w:rPr>
        <w:t>(1)</w:t>
      </w:r>
      <w:r w:rsidRPr="00F64699">
        <w:rPr>
          <w:rFonts w:ascii="Times New Roman" w:eastAsia="Times New Roman" w:hAnsi="Times New Roman" w:cs="Times New Roman"/>
          <w:color w:val="000000"/>
        </w:rPr>
        <w:t> </w:t>
      </w:r>
      <w:r w:rsidRPr="00F64699">
        <w:rPr>
          <w:rFonts w:ascii="Times New Roman" w:eastAsia="Times New Roman" w:hAnsi="Times New Roman" w:cs="Times New Roman"/>
          <w:i/>
          <w:iCs/>
          <w:color w:val="000000"/>
          <w:bdr w:val="none" w:sz="0" w:space="0" w:color="auto" w:frame="1"/>
        </w:rPr>
        <w:t>Salary and bonus</w:t>
      </w:r>
      <w:r w:rsidRPr="00F64699">
        <w:rPr>
          <w:rFonts w:ascii="Times New Roman" w:eastAsia="Times New Roman" w:hAnsi="Times New Roman" w:cs="Times New Roman"/>
          <w:color w:val="000000"/>
        </w:rPr>
        <w:t>.</w:t>
      </w:r>
    </w:p>
    <w:p w14:paraId="617ACD2C" w14:textId="77777777" w:rsidR="00F64699" w:rsidRPr="00F64699" w:rsidRDefault="00F64699" w:rsidP="00F64699">
      <w:pPr>
        <w:shd w:val="clear" w:color="auto" w:fill="FFFFFF"/>
        <w:spacing w:after="120" w:line="240" w:lineRule="auto"/>
        <w:ind w:firstLine="72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noProof/>
          <w:color w:val="000000"/>
          <w:bdr w:val="none" w:sz="0" w:space="0" w:color="auto" w:frame="1"/>
        </w:rPr>
        <mc:AlternateContent>
          <mc:Choice Requires="wps">
            <w:drawing>
              <wp:inline distT="0" distB="0" distL="0" distR="0" wp14:anchorId="1A3EC281" wp14:editId="74B89FDC">
                <wp:extent cx="304800" cy="304800"/>
                <wp:effectExtent l="0" t="0" r="0" b="0"/>
                <wp:docPr id="15497862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ADBE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64699">
        <w:rPr>
          <w:rFonts w:ascii="Times New Roman" w:eastAsia="Times New Roman" w:hAnsi="Times New Roman" w:cs="Times New Roman"/>
          <w:color w:val="000000"/>
          <w:bdr w:val="none" w:sz="0" w:space="0" w:color="auto" w:frame="1"/>
        </w:rPr>
        <w:t>(2)</w:t>
      </w:r>
      <w:r w:rsidRPr="00F64699">
        <w:rPr>
          <w:rFonts w:ascii="Times New Roman" w:eastAsia="Times New Roman" w:hAnsi="Times New Roman" w:cs="Times New Roman"/>
          <w:color w:val="000000"/>
        </w:rPr>
        <w:t> </w:t>
      </w:r>
      <w:r w:rsidRPr="00F64699">
        <w:rPr>
          <w:rFonts w:ascii="Times New Roman" w:eastAsia="Times New Roman" w:hAnsi="Times New Roman" w:cs="Times New Roman"/>
          <w:i/>
          <w:iCs/>
          <w:color w:val="000000"/>
          <w:bdr w:val="none" w:sz="0" w:space="0" w:color="auto" w:frame="1"/>
        </w:rPr>
        <w:t>Awards of stock, stock options, and stock appreciation rights</w:t>
      </w:r>
      <w:r w:rsidRPr="00F64699">
        <w:rPr>
          <w:rFonts w:ascii="Times New Roman" w:eastAsia="Times New Roman" w:hAnsi="Times New Roman" w:cs="Times New Roman"/>
          <w:color w:val="000000"/>
        </w:rPr>
        <w:t>. Use the dollar amount recognized for financial statement reporting purposes with respect to the fiscal year in accordance with the Financial Accounting Standards Board’s Accounting Standards Codification (FASB ASC) 718, Compensation-Stock Compensation.</w:t>
      </w:r>
    </w:p>
    <w:p w14:paraId="3F1E087F" w14:textId="77777777" w:rsidR="00F64699" w:rsidRPr="00F64699" w:rsidRDefault="00F64699" w:rsidP="00F64699">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color w:val="000000"/>
          <w:bdr w:val="none" w:sz="0" w:space="0" w:color="auto" w:frame="1"/>
        </w:rPr>
        <w:t>(3)</w:t>
      </w:r>
      <w:r w:rsidRPr="00F64699">
        <w:rPr>
          <w:rFonts w:ascii="Times New Roman" w:eastAsia="Times New Roman" w:hAnsi="Times New Roman" w:cs="Times New Roman"/>
          <w:color w:val="000000"/>
        </w:rPr>
        <w:t> </w:t>
      </w:r>
      <w:r w:rsidRPr="00F64699">
        <w:rPr>
          <w:rFonts w:ascii="Times New Roman" w:eastAsia="Times New Roman" w:hAnsi="Times New Roman" w:cs="Times New Roman"/>
          <w:i/>
          <w:iCs/>
          <w:color w:val="000000"/>
          <w:bdr w:val="none" w:sz="0" w:space="0" w:color="auto" w:frame="1"/>
        </w:rPr>
        <w:t>Earnings for services under non-equity incentive plans</w:t>
      </w:r>
      <w:r w:rsidRPr="00F64699">
        <w:rPr>
          <w:rFonts w:ascii="Times New Roman" w:eastAsia="Times New Roman" w:hAnsi="Times New Roman" w:cs="Times New Roman"/>
          <w:color w:val="000000"/>
        </w:rPr>
        <w:t xml:space="preserve">. This does not include group life, health, hospitalization or medical reimbursement plans that do not discriminate </w:t>
      </w:r>
      <w:proofErr w:type="gramStart"/>
      <w:r w:rsidRPr="00F64699">
        <w:rPr>
          <w:rFonts w:ascii="Times New Roman" w:eastAsia="Times New Roman" w:hAnsi="Times New Roman" w:cs="Times New Roman"/>
          <w:color w:val="000000"/>
        </w:rPr>
        <w:t>in</w:t>
      </w:r>
      <w:proofErr w:type="gramEnd"/>
      <w:r w:rsidRPr="00F64699">
        <w:rPr>
          <w:rFonts w:ascii="Times New Roman" w:eastAsia="Times New Roman" w:hAnsi="Times New Roman" w:cs="Times New Roman"/>
          <w:color w:val="000000"/>
        </w:rPr>
        <w:t xml:space="preserve"> favor of </w:t>
      </w:r>
      <w:proofErr w:type="gramStart"/>
      <w:r w:rsidRPr="00F64699">
        <w:rPr>
          <w:rFonts w:ascii="Times New Roman" w:eastAsia="Times New Roman" w:hAnsi="Times New Roman" w:cs="Times New Roman"/>
          <w:color w:val="000000"/>
          <w:bdr w:val="none" w:sz="0" w:space="0" w:color="auto" w:frame="1"/>
        </w:rPr>
        <w:t>executives</w:t>
      </w:r>
      <w:r w:rsidRPr="00F64699">
        <w:rPr>
          <w:rFonts w:ascii="Times New Roman" w:eastAsia="Times New Roman" w:hAnsi="Times New Roman" w:cs="Times New Roman"/>
          <w:color w:val="000000"/>
        </w:rPr>
        <w:t>, and</w:t>
      </w:r>
      <w:proofErr w:type="gramEnd"/>
      <w:r w:rsidRPr="00F64699">
        <w:rPr>
          <w:rFonts w:ascii="Times New Roman" w:eastAsia="Times New Roman" w:hAnsi="Times New Roman" w:cs="Times New Roman"/>
          <w:color w:val="000000"/>
        </w:rPr>
        <w:t xml:space="preserve"> are available generally to all salaried employees.</w:t>
      </w:r>
    </w:p>
    <w:p w14:paraId="7E38BF1C" w14:textId="77777777" w:rsidR="00F64699" w:rsidRPr="00F64699" w:rsidRDefault="00F64699" w:rsidP="00F64699">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color w:val="000000"/>
          <w:bdr w:val="none" w:sz="0" w:space="0" w:color="auto" w:frame="1"/>
        </w:rPr>
        <w:lastRenderedPageBreak/>
        <w:t>(4)</w:t>
      </w:r>
      <w:r w:rsidRPr="00F64699">
        <w:rPr>
          <w:rFonts w:ascii="Times New Roman" w:eastAsia="Times New Roman" w:hAnsi="Times New Roman" w:cs="Times New Roman"/>
          <w:color w:val="000000"/>
        </w:rPr>
        <w:t> </w:t>
      </w:r>
      <w:r w:rsidRPr="00F64699">
        <w:rPr>
          <w:rFonts w:ascii="Times New Roman" w:eastAsia="Times New Roman" w:hAnsi="Times New Roman" w:cs="Times New Roman"/>
          <w:i/>
          <w:iCs/>
          <w:color w:val="000000"/>
          <w:bdr w:val="none" w:sz="0" w:space="0" w:color="auto" w:frame="1"/>
        </w:rPr>
        <w:t>Change in pension value</w:t>
      </w:r>
      <w:r w:rsidRPr="00F64699">
        <w:rPr>
          <w:rFonts w:ascii="Times New Roman" w:eastAsia="Times New Roman" w:hAnsi="Times New Roman" w:cs="Times New Roman"/>
          <w:color w:val="000000"/>
        </w:rPr>
        <w:t xml:space="preserve">. This is the change in </w:t>
      </w:r>
      <w:proofErr w:type="gramStart"/>
      <w:r w:rsidRPr="00F64699">
        <w:rPr>
          <w:rFonts w:ascii="Times New Roman" w:eastAsia="Times New Roman" w:hAnsi="Times New Roman" w:cs="Times New Roman"/>
          <w:color w:val="000000"/>
        </w:rPr>
        <w:t>present</w:t>
      </w:r>
      <w:proofErr w:type="gramEnd"/>
      <w:r w:rsidRPr="00F64699">
        <w:rPr>
          <w:rFonts w:ascii="Times New Roman" w:eastAsia="Times New Roman" w:hAnsi="Times New Roman" w:cs="Times New Roman"/>
          <w:color w:val="000000"/>
        </w:rPr>
        <w:t xml:space="preserve"> value of defined benefit and actuarial pension plans.</w:t>
      </w:r>
    </w:p>
    <w:p w14:paraId="6208803E" w14:textId="77777777" w:rsidR="00F64699" w:rsidRPr="00F64699" w:rsidRDefault="00F64699" w:rsidP="00F64699">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color w:val="000000"/>
          <w:bdr w:val="none" w:sz="0" w:space="0" w:color="auto" w:frame="1"/>
        </w:rPr>
        <w:t>(5)</w:t>
      </w:r>
      <w:r w:rsidRPr="00F64699">
        <w:rPr>
          <w:rFonts w:ascii="Times New Roman" w:eastAsia="Times New Roman" w:hAnsi="Times New Roman" w:cs="Times New Roman"/>
          <w:color w:val="000000"/>
        </w:rPr>
        <w:t> </w:t>
      </w:r>
      <w:r w:rsidRPr="00F64699">
        <w:rPr>
          <w:rFonts w:ascii="Times New Roman" w:eastAsia="Times New Roman" w:hAnsi="Times New Roman" w:cs="Times New Roman"/>
          <w:i/>
          <w:iCs/>
          <w:color w:val="000000"/>
          <w:bdr w:val="none" w:sz="0" w:space="0" w:color="auto" w:frame="1"/>
        </w:rPr>
        <w:t>Above-market earnings on deferred compensation which is not tax-qualified</w:t>
      </w:r>
      <w:r w:rsidRPr="00F64699">
        <w:rPr>
          <w:rFonts w:ascii="Times New Roman" w:eastAsia="Times New Roman" w:hAnsi="Times New Roman" w:cs="Times New Roman"/>
          <w:color w:val="000000"/>
        </w:rPr>
        <w:t>.</w:t>
      </w:r>
    </w:p>
    <w:p w14:paraId="7B2CBA17" w14:textId="77777777" w:rsidR="00F64699" w:rsidRPr="00F64699" w:rsidRDefault="00F64699" w:rsidP="00F64699">
      <w:pPr>
        <w:shd w:val="clear" w:color="auto" w:fill="FFFFFF"/>
        <w:spacing w:before="100" w:beforeAutospacing="1" w:after="100" w:afterAutospacing="1" w:line="240" w:lineRule="auto"/>
        <w:ind w:firstLine="72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color w:val="000000"/>
          <w:bdr w:val="none" w:sz="0" w:space="0" w:color="auto" w:frame="1"/>
        </w:rPr>
        <w:t>(6)</w:t>
      </w:r>
      <w:r w:rsidRPr="00F64699">
        <w:rPr>
          <w:rFonts w:ascii="Times New Roman" w:eastAsia="Times New Roman" w:hAnsi="Times New Roman" w:cs="Times New Roman"/>
          <w:color w:val="000000"/>
        </w:rPr>
        <w:t> Other compensation, if the aggregate value of all such other compensation (</w:t>
      </w:r>
      <w:r w:rsidRPr="00F64699">
        <w:rPr>
          <w:rFonts w:ascii="Times New Roman" w:eastAsia="Times New Roman" w:hAnsi="Times New Roman" w:cs="Times New Roman"/>
          <w:i/>
          <w:iCs/>
          <w:color w:val="000000"/>
          <w:bdr w:val="none" w:sz="0" w:space="0" w:color="auto" w:frame="1"/>
        </w:rPr>
        <w:t>e.g.</w:t>
      </w:r>
      <w:r w:rsidRPr="00F64699">
        <w:rPr>
          <w:rFonts w:ascii="Times New Roman" w:eastAsia="Times New Roman" w:hAnsi="Times New Roman" w:cs="Times New Roman"/>
          <w:color w:val="000000"/>
        </w:rPr>
        <w:t>, severance, termination payments, value of life </w:t>
      </w:r>
      <w:r w:rsidRPr="00F64699">
        <w:rPr>
          <w:rFonts w:ascii="Times New Roman" w:eastAsia="Times New Roman" w:hAnsi="Times New Roman" w:cs="Times New Roman"/>
          <w:color w:val="000000"/>
          <w:bdr w:val="none" w:sz="0" w:space="0" w:color="auto" w:frame="1"/>
        </w:rPr>
        <w:t>insurance</w:t>
      </w:r>
      <w:r w:rsidRPr="00F64699">
        <w:rPr>
          <w:rFonts w:ascii="Times New Roman" w:eastAsia="Times New Roman" w:hAnsi="Times New Roman" w:cs="Times New Roman"/>
          <w:color w:val="000000"/>
        </w:rPr>
        <w:t> paid on behalf of the employee, perquisites or property) for the </w:t>
      </w:r>
      <w:r w:rsidRPr="00F64699">
        <w:rPr>
          <w:rFonts w:ascii="Times New Roman" w:eastAsia="Times New Roman" w:hAnsi="Times New Roman" w:cs="Times New Roman"/>
          <w:color w:val="000000"/>
          <w:bdr w:val="none" w:sz="0" w:space="0" w:color="auto" w:frame="1"/>
        </w:rPr>
        <w:t>executive</w:t>
      </w:r>
      <w:r w:rsidRPr="00F64699">
        <w:rPr>
          <w:rFonts w:ascii="Times New Roman" w:eastAsia="Times New Roman" w:hAnsi="Times New Roman" w:cs="Times New Roman"/>
          <w:color w:val="000000"/>
        </w:rPr>
        <w:t> exceeds $10,000.</w:t>
      </w:r>
    </w:p>
    <w:p w14:paraId="7DEBEFF3" w14:textId="77777777" w:rsidR="00F64699" w:rsidRPr="00F64699" w:rsidRDefault="00F64699" w:rsidP="00F64699">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color w:val="000000"/>
          <w:bdr w:val="none" w:sz="0" w:space="0" w:color="auto" w:frame="1"/>
        </w:rPr>
        <w:t>(b)</w:t>
      </w:r>
      <w:r w:rsidRPr="00F64699">
        <w:rPr>
          <w:rFonts w:ascii="Times New Roman" w:eastAsia="Times New Roman" w:hAnsi="Times New Roman" w:cs="Times New Roman"/>
          <w:color w:val="000000"/>
        </w:rPr>
        <w:t> Section 2(d)(2) of the Federal Funding Accountability and Transparency Act of 2006 (Pub. L. 109-282), as amended by section 6202 of the Government Funding Transparency Act of 2008 (Pub. L. 110-252), requires the Contractor to report information on subcontract awards. The law requires all reported information be made public, therefore, the Contractor is responsible for notifying its subcontractors that the required information will be made public.</w:t>
      </w:r>
    </w:p>
    <w:p w14:paraId="5F61372F" w14:textId="77777777" w:rsidR="00F64699" w:rsidRPr="00F64699" w:rsidRDefault="00F64699" w:rsidP="00F64699">
      <w:pPr>
        <w:shd w:val="clear" w:color="auto" w:fill="FFFFFF"/>
        <w:spacing w:after="0" w:line="240" w:lineRule="auto"/>
        <w:ind w:firstLine="360"/>
        <w:jc w:val="both"/>
        <w:textAlignment w:val="baseline"/>
        <w:rPr>
          <w:rFonts w:ascii="Times New Roman" w:eastAsia="Times New Roman" w:hAnsi="Times New Roman" w:cs="Times New Roman"/>
          <w:color w:val="000000"/>
        </w:rPr>
      </w:pPr>
      <w:r w:rsidRPr="00F64699">
        <w:rPr>
          <w:rFonts w:ascii="Times New Roman" w:eastAsia="Times New Roman" w:hAnsi="Times New Roman" w:cs="Times New Roman"/>
          <w:color w:val="000000"/>
          <w:bdr w:val="none" w:sz="0" w:space="0" w:color="auto" w:frame="1"/>
        </w:rPr>
        <w:t>(c)</w:t>
      </w:r>
      <w:r w:rsidRPr="00F64699">
        <w:rPr>
          <w:rFonts w:ascii="Times New Roman" w:eastAsia="Times New Roman" w:hAnsi="Times New Roman" w:cs="Times New Roman"/>
          <w:color w:val="000000"/>
        </w:rPr>
        <w:t> Nothing in this clause requires the disclosure of </w:t>
      </w:r>
      <w:r w:rsidRPr="00F64699">
        <w:rPr>
          <w:rFonts w:ascii="Times New Roman" w:eastAsia="Times New Roman" w:hAnsi="Times New Roman" w:cs="Times New Roman"/>
          <w:color w:val="000000"/>
          <w:bdr w:val="none" w:sz="0" w:space="0" w:color="auto" w:frame="1"/>
        </w:rPr>
        <w:t>classified information</w:t>
      </w:r>
    </w:p>
    <w:p w14:paraId="6BEDE731" w14:textId="77777777" w:rsidR="00D766A4" w:rsidRPr="005B40AB" w:rsidRDefault="00D766A4" w:rsidP="00F64699">
      <w:pPr>
        <w:pStyle w:val="Default"/>
        <w:jc w:val="both"/>
        <w:rPr>
          <w:sz w:val="22"/>
          <w:szCs w:val="22"/>
        </w:rPr>
      </w:pPr>
    </w:p>
    <w:p w14:paraId="20CB40AF" w14:textId="3AFC016B" w:rsidR="00AE7E4E" w:rsidRPr="005B40AB" w:rsidRDefault="00AE7E4E" w:rsidP="00F64699">
      <w:pPr>
        <w:spacing w:after="0" w:line="240" w:lineRule="auto"/>
        <w:jc w:val="both"/>
        <w:rPr>
          <w:rFonts w:ascii="Times New Roman" w:hAnsi="Times New Roman" w:cs="Times New Roman"/>
        </w:rPr>
      </w:pPr>
      <w:r w:rsidRPr="005B40AB">
        <w:rPr>
          <w:rFonts w:ascii="Times New Roman" w:hAnsi="Times New Roman" w:cs="Times New Roman"/>
        </w:rPr>
        <w:t>(d)</w:t>
      </w:r>
      <w:r w:rsidR="00674C57" w:rsidRPr="005B40AB">
        <w:rPr>
          <w:rFonts w:ascii="Times New Roman" w:hAnsi="Times New Roman" w:cs="Times New Roman"/>
        </w:rPr>
        <w:t xml:space="preserve"> </w:t>
      </w:r>
      <w:r w:rsidRPr="005B40AB">
        <w:rPr>
          <w:rFonts w:ascii="Times New Roman" w:hAnsi="Times New Roman" w:cs="Times New Roman"/>
        </w:rPr>
        <w:t xml:space="preserve">Unless otherwise </w:t>
      </w:r>
      <w:r w:rsidR="009A3A6C" w:rsidRPr="005B40AB">
        <w:rPr>
          <w:rFonts w:ascii="Times New Roman" w:hAnsi="Times New Roman" w:cs="Times New Roman"/>
        </w:rPr>
        <w:t>directed by the Contracting O</w:t>
      </w:r>
      <w:r w:rsidRPr="005B40AB">
        <w:rPr>
          <w:rFonts w:ascii="Times New Roman" w:hAnsi="Times New Roman" w:cs="Times New Roman"/>
        </w:rPr>
        <w:t>fficer, by the end of the month following the month of award of a first-tier subcontract with a value of $</w:t>
      </w:r>
      <w:r w:rsidR="00176FCA" w:rsidRPr="005B40AB">
        <w:rPr>
          <w:rFonts w:ascii="Times New Roman" w:hAnsi="Times New Roman" w:cs="Times New Roman"/>
        </w:rPr>
        <w:t>30</w:t>
      </w:r>
      <w:r w:rsidRPr="005B40AB">
        <w:rPr>
          <w:rFonts w:ascii="Times New Roman" w:hAnsi="Times New Roman" w:cs="Times New Roman"/>
        </w:rPr>
        <w:t>,000 or more,</w:t>
      </w:r>
      <w:r w:rsidR="009A3A6C" w:rsidRPr="005B40AB">
        <w:rPr>
          <w:rFonts w:ascii="Times New Roman" w:hAnsi="Times New Roman" w:cs="Times New Roman"/>
        </w:rPr>
        <w:t xml:space="preserve"> the Contractor shall report the names and total compensation of each of the five most highly compensated executives for the first-tier subcontractor’s preceding completed fiscal year at </w:t>
      </w:r>
      <w:r w:rsidR="00176FCA" w:rsidRPr="005B40AB">
        <w:rPr>
          <w:rFonts w:ascii="Times New Roman" w:hAnsi="Times New Roman" w:cs="Times New Roman"/>
        </w:rPr>
        <w:t xml:space="preserve"> </w:t>
      </w:r>
      <w:hyperlink r:id="rId6" w:history="1">
        <w:r w:rsidR="00176FCA" w:rsidRPr="005B40AB">
          <w:rPr>
            <w:rStyle w:val="Hyperlink"/>
            <w:rFonts w:ascii="Times New Roman" w:hAnsi="Times New Roman" w:cs="Times New Roman"/>
          </w:rPr>
          <w:t>http://www.fsrs.gov</w:t>
        </w:r>
      </w:hyperlink>
      <w:r w:rsidR="00176FCA" w:rsidRPr="005B40AB">
        <w:rPr>
          <w:rFonts w:ascii="Times New Roman" w:hAnsi="Times New Roman" w:cs="Times New Roman"/>
        </w:rPr>
        <w:t xml:space="preserve"> for that first-tier subcontract</w:t>
      </w:r>
      <w:r w:rsidR="009A3A6C" w:rsidRPr="005B40AB">
        <w:rPr>
          <w:rFonts w:ascii="Times New Roman" w:hAnsi="Times New Roman" w:cs="Times New Roman"/>
        </w:rPr>
        <w:t>, if</w:t>
      </w:r>
      <w:r w:rsidR="00176FCA" w:rsidRPr="005B40AB">
        <w:rPr>
          <w:rFonts w:ascii="Times New Roman" w:hAnsi="Times New Roman" w:cs="Times New Roman"/>
        </w:rPr>
        <w:t xml:space="preserve">:  </w:t>
      </w:r>
    </w:p>
    <w:p w14:paraId="307D330C" w14:textId="77777777" w:rsidR="00AE7E4E" w:rsidRPr="005B40AB" w:rsidRDefault="00AE7E4E" w:rsidP="00105B5E">
      <w:pPr>
        <w:spacing w:after="0" w:line="240" w:lineRule="auto"/>
        <w:jc w:val="both"/>
        <w:rPr>
          <w:rFonts w:ascii="Times New Roman" w:hAnsi="Times New Roman" w:cs="Times New Roman"/>
          <w:color w:val="000000"/>
        </w:rPr>
      </w:pPr>
    </w:p>
    <w:p w14:paraId="4E1C130C" w14:textId="6BE78252" w:rsidR="00FD2BE4" w:rsidRPr="005B40AB" w:rsidRDefault="00F03401" w:rsidP="00105B5E">
      <w:pPr>
        <w:pStyle w:val="Default"/>
        <w:jc w:val="both"/>
        <w:rPr>
          <w:sz w:val="22"/>
          <w:szCs w:val="22"/>
        </w:rPr>
      </w:pPr>
      <w:r w:rsidRPr="005B40AB">
        <w:rPr>
          <w:sz w:val="22"/>
          <w:szCs w:val="22"/>
        </w:rPr>
        <w:t>(</w:t>
      </w:r>
      <w:r w:rsidR="00F64699">
        <w:rPr>
          <w:sz w:val="22"/>
          <w:szCs w:val="22"/>
        </w:rPr>
        <w:t>1</w:t>
      </w:r>
      <w:r w:rsidR="00FD2BE4" w:rsidRPr="00F64699">
        <w:rPr>
          <w:sz w:val="22"/>
          <w:szCs w:val="22"/>
        </w:rPr>
        <w:t xml:space="preserve">) </w:t>
      </w:r>
      <w:r w:rsidR="00F64699" w:rsidRPr="00F64699">
        <w:rPr>
          <w:sz w:val="22"/>
          <w:szCs w:val="22"/>
          <w:shd w:val="clear" w:color="auto" w:fill="FFFFFF"/>
        </w:rPr>
        <w:t>80 percent or more of its annual gross revenues from Federal contracts (and subcontracts), loans, grants (and subgrants), cooperative agreements, and other forms of Federal financial assistance</w:t>
      </w:r>
      <w:r w:rsidR="00FD2BE4" w:rsidRPr="005B40AB">
        <w:rPr>
          <w:sz w:val="22"/>
          <w:szCs w:val="22"/>
        </w:rPr>
        <w:t xml:space="preserve">  </w:t>
      </w:r>
      <w:r w:rsidR="00FD2BE4" w:rsidRPr="005B40AB">
        <w:rPr>
          <w:b/>
          <w:sz w:val="22"/>
          <w:szCs w:val="22"/>
        </w:rPr>
        <w:t xml:space="preserve"> Yes, (or) </w:t>
      </w:r>
      <w:r w:rsidR="00FD2BE4" w:rsidRPr="005B40AB">
        <w:rPr>
          <w:b/>
          <w:sz w:val="22"/>
          <w:szCs w:val="22"/>
        </w:rPr>
        <w:t> No</w:t>
      </w:r>
      <w:r w:rsidR="00FD2BE4" w:rsidRPr="005B40AB">
        <w:rPr>
          <w:sz w:val="22"/>
          <w:szCs w:val="22"/>
        </w:rPr>
        <w:t xml:space="preserve"> </w:t>
      </w:r>
    </w:p>
    <w:p w14:paraId="26139C56" w14:textId="77777777" w:rsidR="00FD2BE4" w:rsidRPr="005B40AB" w:rsidRDefault="00FD2BE4" w:rsidP="00105B5E">
      <w:pPr>
        <w:pStyle w:val="Default"/>
        <w:jc w:val="both"/>
        <w:rPr>
          <w:sz w:val="22"/>
          <w:szCs w:val="22"/>
        </w:rPr>
      </w:pPr>
    </w:p>
    <w:p w14:paraId="59615513" w14:textId="5B8A38F1" w:rsidR="00FD2BE4" w:rsidRPr="005B40AB" w:rsidRDefault="00FD2BE4" w:rsidP="00105B5E">
      <w:pPr>
        <w:pStyle w:val="Default"/>
        <w:jc w:val="both"/>
        <w:rPr>
          <w:sz w:val="22"/>
          <w:szCs w:val="22"/>
        </w:rPr>
      </w:pPr>
      <w:r w:rsidRPr="005B40AB">
        <w:rPr>
          <w:sz w:val="22"/>
          <w:szCs w:val="22"/>
        </w:rPr>
        <w:t xml:space="preserve">If </w:t>
      </w:r>
      <w:proofErr w:type="gramStart"/>
      <w:r w:rsidRPr="005B40AB">
        <w:rPr>
          <w:sz w:val="22"/>
          <w:szCs w:val="22"/>
        </w:rPr>
        <w:t>Yes</w:t>
      </w:r>
      <w:proofErr w:type="gramEnd"/>
      <w:r w:rsidRPr="005B40AB">
        <w:rPr>
          <w:sz w:val="22"/>
          <w:szCs w:val="22"/>
        </w:rPr>
        <w:t>, pro</w:t>
      </w:r>
      <w:r w:rsidR="00F03401" w:rsidRPr="005B40AB">
        <w:rPr>
          <w:sz w:val="22"/>
          <w:szCs w:val="22"/>
        </w:rPr>
        <w:t>ceed to (</w:t>
      </w:r>
      <w:r w:rsidR="005B40AB" w:rsidRPr="005B40AB">
        <w:rPr>
          <w:sz w:val="22"/>
          <w:szCs w:val="22"/>
        </w:rPr>
        <w:t>3</w:t>
      </w:r>
      <w:r w:rsidRPr="005B40AB">
        <w:rPr>
          <w:sz w:val="22"/>
          <w:szCs w:val="22"/>
        </w:rPr>
        <w:t xml:space="preserve">), below. </w:t>
      </w:r>
    </w:p>
    <w:p w14:paraId="06099ED6" w14:textId="77777777" w:rsidR="00FD2BE4" w:rsidRPr="005B40AB" w:rsidRDefault="00FD2BE4" w:rsidP="00105B5E">
      <w:pPr>
        <w:pStyle w:val="Default"/>
        <w:jc w:val="both"/>
        <w:rPr>
          <w:sz w:val="22"/>
          <w:szCs w:val="22"/>
        </w:rPr>
      </w:pPr>
    </w:p>
    <w:p w14:paraId="3A1F1E8E" w14:textId="77777777" w:rsidR="00FD2BE4" w:rsidRPr="005B40AB" w:rsidRDefault="00FD2BE4" w:rsidP="00105B5E">
      <w:pPr>
        <w:pStyle w:val="Default"/>
        <w:jc w:val="both"/>
        <w:rPr>
          <w:sz w:val="22"/>
          <w:szCs w:val="22"/>
        </w:rPr>
      </w:pPr>
      <w:r w:rsidRPr="005B40AB">
        <w:rPr>
          <w:sz w:val="22"/>
          <w:szCs w:val="22"/>
        </w:rPr>
        <w:t xml:space="preserve">If No, </w:t>
      </w:r>
      <w:r w:rsidR="002119BB" w:rsidRPr="005B40AB">
        <w:rPr>
          <w:sz w:val="22"/>
          <w:szCs w:val="22"/>
        </w:rPr>
        <w:t>Subcontractor</w:t>
      </w:r>
      <w:r w:rsidRPr="005B40AB">
        <w:rPr>
          <w:sz w:val="22"/>
          <w:szCs w:val="22"/>
        </w:rPr>
        <w:t xml:space="preserve"> is not required to complete the remainder of this Section. Please complete the Authorized Signature of Offeror section. </w:t>
      </w:r>
    </w:p>
    <w:p w14:paraId="56E40ADF" w14:textId="77777777" w:rsidR="00FD2BE4" w:rsidRPr="005B40AB" w:rsidRDefault="00FD2BE4" w:rsidP="00105B5E">
      <w:pPr>
        <w:pStyle w:val="Default"/>
        <w:jc w:val="both"/>
        <w:rPr>
          <w:sz w:val="22"/>
          <w:szCs w:val="22"/>
        </w:rPr>
      </w:pPr>
    </w:p>
    <w:p w14:paraId="0581EC53" w14:textId="641F57E4" w:rsidR="00FD2BE4" w:rsidRPr="005B40AB" w:rsidRDefault="00FD2BE4" w:rsidP="00105B5E">
      <w:pPr>
        <w:pStyle w:val="Default"/>
        <w:jc w:val="both"/>
        <w:rPr>
          <w:sz w:val="22"/>
          <w:szCs w:val="22"/>
        </w:rPr>
      </w:pPr>
      <w:r w:rsidRPr="005B40AB">
        <w:rPr>
          <w:sz w:val="22"/>
          <w:szCs w:val="22"/>
        </w:rPr>
        <w:t>(</w:t>
      </w:r>
      <w:r w:rsidR="00F64699">
        <w:rPr>
          <w:sz w:val="22"/>
          <w:szCs w:val="22"/>
        </w:rPr>
        <w:t>2</w:t>
      </w:r>
      <w:r w:rsidRPr="005B40AB">
        <w:rPr>
          <w:sz w:val="22"/>
          <w:szCs w:val="22"/>
        </w:rPr>
        <w:t xml:space="preserve">) In </w:t>
      </w:r>
      <w:r w:rsidR="002119BB" w:rsidRPr="005B40AB">
        <w:rPr>
          <w:sz w:val="22"/>
          <w:szCs w:val="22"/>
        </w:rPr>
        <w:t>Subcontractor</w:t>
      </w:r>
      <w:r w:rsidRPr="005B40AB">
        <w:rPr>
          <w:sz w:val="22"/>
          <w:szCs w:val="22"/>
        </w:rPr>
        <w:t xml:space="preserve">'s preceding fiscal year, did </w:t>
      </w:r>
      <w:r w:rsidR="002119BB" w:rsidRPr="005B40AB">
        <w:rPr>
          <w:sz w:val="22"/>
          <w:szCs w:val="22"/>
        </w:rPr>
        <w:t>Subcontractor</w:t>
      </w:r>
      <w:r w:rsidRPr="005B40AB">
        <w:rPr>
          <w:sz w:val="22"/>
          <w:szCs w:val="22"/>
        </w:rPr>
        <w:t xml:space="preserve"> receive </w:t>
      </w:r>
      <w:r w:rsidR="00F64699" w:rsidRPr="00F64699">
        <w:rPr>
          <w:sz w:val="22"/>
          <w:szCs w:val="22"/>
        </w:rPr>
        <w:t>$25,000,000 or more in annual gross revenues from Federal contracts (and subcontracts), loans, grants (and subgrants), cooperative agreements, and other forms of Federal financial assistance</w:t>
      </w:r>
      <w:r w:rsidRPr="005B40AB">
        <w:rPr>
          <w:sz w:val="22"/>
          <w:szCs w:val="22"/>
        </w:rPr>
        <w:t xml:space="preserve">  </w:t>
      </w:r>
      <w:r w:rsidRPr="005B40AB">
        <w:rPr>
          <w:b/>
          <w:sz w:val="22"/>
          <w:szCs w:val="22"/>
        </w:rPr>
        <w:t xml:space="preserve"> Yes, (or) </w:t>
      </w:r>
      <w:r w:rsidRPr="005B40AB">
        <w:rPr>
          <w:b/>
          <w:sz w:val="22"/>
          <w:szCs w:val="22"/>
        </w:rPr>
        <w:t> No</w:t>
      </w:r>
      <w:r w:rsidRPr="005B40AB">
        <w:rPr>
          <w:sz w:val="22"/>
          <w:szCs w:val="22"/>
        </w:rPr>
        <w:t xml:space="preserve"> </w:t>
      </w:r>
    </w:p>
    <w:p w14:paraId="6453E16D" w14:textId="77777777" w:rsidR="00FD2BE4" w:rsidRPr="005B40AB" w:rsidRDefault="00FD2BE4" w:rsidP="00105B5E">
      <w:pPr>
        <w:pStyle w:val="Default"/>
        <w:jc w:val="both"/>
        <w:rPr>
          <w:sz w:val="22"/>
          <w:szCs w:val="22"/>
        </w:rPr>
      </w:pPr>
    </w:p>
    <w:p w14:paraId="00FBF20F" w14:textId="05C3F745" w:rsidR="00FD2BE4" w:rsidRPr="005B40AB" w:rsidRDefault="00AE7E4E" w:rsidP="00105B5E">
      <w:pPr>
        <w:pStyle w:val="Default"/>
        <w:jc w:val="both"/>
        <w:rPr>
          <w:sz w:val="22"/>
          <w:szCs w:val="22"/>
        </w:rPr>
      </w:pPr>
      <w:r w:rsidRPr="005B40AB">
        <w:rPr>
          <w:sz w:val="22"/>
          <w:szCs w:val="22"/>
        </w:rPr>
        <w:t xml:space="preserve">If </w:t>
      </w:r>
      <w:proofErr w:type="gramStart"/>
      <w:r w:rsidRPr="005B40AB">
        <w:rPr>
          <w:sz w:val="22"/>
          <w:szCs w:val="22"/>
        </w:rPr>
        <w:t>Yes</w:t>
      </w:r>
      <w:proofErr w:type="gramEnd"/>
      <w:r w:rsidRPr="005B40AB">
        <w:rPr>
          <w:sz w:val="22"/>
          <w:szCs w:val="22"/>
        </w:rPr>
        <w:t>, proceed to (</w:t>
      </w:r>
      <w:r w:rsidR="005B40AB" w:rsidRPr="005B40AB">
        <w:rPr>
          <w:sz w:val="22"/>
          <w:szCs w:val="22"/>
        </w:rPr>
        <w:t>4</w:t>
      </w:r>
      <w:r w:rsidR="00FD2BE4" w:rsidRPr="005B40AB">
        <w:rPr>
          <w:sz w:val="22"/>
          <w:szCs w:val="22"/>
        </w:rPr>
        <w:t>), below.</w:t>
      </w:r>
    </w:p>
    <w:p w14:paraId="5C81ECA9" w14:textId="77777777" w:rsidR="00FD2BE4" w:rsidRPr="005B40AB" w:rsidRDefault="00FD2BE4" w:rsidP="00105B5E">
      <w:pPr>
        <w:pStyle w:val="Default"/>
        <w:jc w:val="both"/>
        <w:rPr>
          <w:sz w:val="22"/>
          <w:szCs w:val="22"/>
        </w:rPr>
      </w:pPr>
    </w:p>
    <w:p w14:paraId="7F60E69C" w14:textId="77777777" w:rsidR="00FD2BE4" w:rsidRPr="005B40AB" w:rsidRDefault="00FD2BE4" w:rsidP="00105B5E">
      <w:pPr>
        <w:pStyle w:val="Default"/>
        <w:jc w:val="both"/>
        <w:rPr>
          <w:sz w:val="22"/>
          <w:szCs w:val="22"/>
        </w:rPr>
      </w:pPr>
      <w:r w:rsidRPr="005B40AB">
        <w:rPr>
          <w:sz w:val="22"/>
          <w:szCs w:val="22"/>
        </w:rPr>
        <w:t xml:space="preserve">If No, </w:t>
      </w:r>
      <w:r w:rsidR="002119BB" w:rsidRPr="005B40AB">
        <w:rPr>
          <w:sz w:val="22"/>
          <w:szCs w:val="22"/>
        </w:rPr>
        <w:t>Subcontractor</w:t>
      </w:r>
      <w:r w:rsidRPr="005B40AB">
        <w:rPr>
          <w:sz w:val="22"/>
          <w:szCs w:val="22"/>
        </w:rPr>
        <w:t xml:space="preserve"> is not required to complete the remainder of this section. Please complete the Authorized Signature of </w:t>
      </w:r>
      <w:r w:rsidR="002119BB" w:rsidRPr="005B40AB">
        <w:rPr>
          <w:sz w:val="22"/>
          <w:szCs w:val="22"/>
        </w:rPr>
        <w:t>Subcontractor</w:t>
      </w:r>
      <w:r w:rsidRPr="005B40AB">
        <w:rPr>
          <w:sz w:val="22"/>
          <w:szCs w:val="22"/>
        </w:rPr>
        <w:t xml:space="preserve"> sect</w:t>
      </w:r>
      <w:r w:rsidR="0023652D" w:rsidRPr="005B40AB">
        <w:rPr>
          <w:sz w:val="22"/>
          <w:szCs w:val="22"/>
        </w:rPr>
        <w:t>i</w:t>
      </w:r>
      <w:r w:rsidRPr="005B40AB">
        <w:rPr>
          <w:sz w:val="22"/>
          <w:szCs w:val="22"/>
        </w:rPr>
        <w:t xml:space="preserve">on. </w:t>
      </w:r>
    </w:p>
    <w:p w14:paraId="437BE476" w14:textId="77777777" w:rsidR="00FD2BE4" w:rsidRPr="005B40AB" w:rsidRDefault="00FD2BE4" w:rsidP="00105B5E">
      <w:pPr>
        <w:pStyle w:val="Default"/>
        <w:jc w:val="both"/>
        <w:rPr>
          <w:sz w:val="22"/>
          <w:szCs w:val="22"/>
        </w:rPr>
      </w:pPr>
    </w:p>
    <w:p w14:paraId="0A62FBF3" w14:textId="7A38DB40" w:rsidR="00E33658" w:rsidRPr="005B40AB" w:rsidRDefault="00AE7E4E" w:rsidP="00105B5E">
      <w:pPr>
        <w:pStyle w:val="Default"/>
        <w:jc w:val="both"/>
        <w:rPr>
          <w:b/>
          <w:sz w:val="22"/>
          <w:szCs w:val="22"/>
        </w:rPr>
      </w:pPr>
      <w:r w:rsidRPr="005B40AB">
        <w:rPr>
          <w:sz w:val="22"/>
          <w:szCs w:val="22"/>
        </w:rPr>
        <w:t>(</w:t>
      </w:r>
      <w:r w:rsidR="00F64699">
        <w:rPr>
          <w:sz w:val="22"/>
          <w:szCs w:val="22"/>
        </w:rPr>
        <w:t>3</w:t>
      </w:r>
      <w:r w:rsidR="00FD2BE4" w:rsidRPr="005B40AB">
        <w:rPr>
          <w:sz w:val="22"/>
          <w:szCs w:val="22"/>
        </w:rPr>
        <w:t xml:space="preserve">) </w:t>
      </w:r>
      <w:r w:rsidR="00FD2BE4" w:rsidRPr="00F64699">
        <w:rPr>
          <w:sz w:val="22"/>
          <w:szCs w:val="22"/>
        </w:rPr>
        <w:t xml:space="preserve">Does the public have </w:t>
      </w:r>
      <w:r w:rsidR="00F64699" w:rsidRPr="00F64699">
        <w:rPr>
          <w:sz w:val="22"/>
          <w:szCs w:val="22"/>
          <w:shd w:val="clear" w:color="auto" w:fill="FFFFFF"/>
        </w:rPr>
        <w:t> access to information about the compensation of the </w:t>
      </w:r>
      <w:r w:rsidR="00F64699" w:rsidRPr="00F64699">
        <w:rPr>
          <w:sz w:val="22"/>
          <w:szCs w:val="22"/>
          <w:bdr w:val="none" w:sz="0" w:space="0" w:color="auto" w:frame="1"/>
          <w:shd w:val="clear" w:color="auto" w:fill="FFFFFF"/>
        </w:rPr>
        <w:t>executives</w:t>
      </w:r>
      <w:r w:rsidR="00F64699" w:rsidRPr="00F64699">
        <w:rPr>
          <w:sz w:val="22"/>
          <w:szCs w:val="22"/>
          <w:shd w:val="clear" w:color="auto" w:fill="FFFFFF"/>
        </w:rPr>
        <w:t> through periodic reports filed under section 13(a) or 15(d) of the Securities Exchange Act of 1934 ( </w:t>
      </w:r>
      <w:hyperlink r:id="rId7" w:tgtFrame="_blank" w:tooltip="(15 U.S.C. 78ma, 78o(d), opens in a new window)" w:history="1">
        <w:r w:rsidR="00F64699" w:rsidRPr="00F64699">
          <w:rPr>
            <w:color w:val="0000FF"/>
            <w:sz w:val="22"/>
            <w:szCs w:val="22"/>
            <w:u w:val="single"/>
            <w:bdr w:val="none" w:sz="0" w:space="0" w:color="auto" w:frame="1"/>
            <w:shd w:val="clear" w:color="auto" w:fill="FFFFFF"/>
          </w:rPr>
          <w:t>15 U.S.C. 78m(a), 78o(d)</w:t>
        </w:r>
      </w:hyperlink>
      <w:r w:rsidR="00F64699" w:rsidRPr="00F64699">
        <w:rPr>
          <w:sz w:val="22"/>
          <w:szCs w:val="22"/>
          <w:shd w:val="clear" w:color="auto" w:fill="FFFFFF"/>
        </w:rPr>
        <w:t>) or section 6104 of the Internal Revenue Code of 1986. (To determine if the public has access to the compensation information, see the U.S. Security and Exchange Commission total compensation filings at </w:t>
      </w:r>
      <w:hyperlink r:id="rId8" w:tgtFrame="_blank" w:tooltip="http://www.sec.gov/answers/execomp.htm (opens in a new window)" w:history="1">
        <w:r w:rsidR="00F64699" w:rsidRPr="00F64699">
          <w:rPr>
            <w:color w:val="0000FF"/>
            <w:sz w:val="22"/>
            <w:szCs w:val="22"/>
            <w:u w:val="single"/>
            <w:bdr w:val="none" w:sz="0" w:space="0" w:color="auto" w:frame="1"/>
            <w:shd w:val="clear" w:color="auto" w:fill="FFFFFF"/>
          </w:rPr>
          <w:t>http://www.sec.gov/answers/execomp.htm</w:t>
        </w:r>
      </w:hyperlink>
      <w:r w:rsidR="00F64699" w:rsidRPr="00F64699">
        <w:rPr>
          <w:sz w:val="22"/>
          <w:szCs w:val="22"/>
          <w:shd w:val="clear" w:color="auto" w:fill="FFFFFF"/>
        </w:rPr>
        <w:t>.)</w:t>
      </w:r>
    </w:p>
    <w:p w14:paraId="126859CC" w14:textId="77777777" w:rsidR="00FD2BE4" w:rsidRPr="005B40AB" w:rsidRDefault="00FD2BE4" w:rsidP="00105B5E">
      <w:pPr>
        <w:pStyle w:val="Default"/>
        <w:jc w:val="both"/>
        <w:rPr>
          <w:b/>
          <w:sz w:val="22"/>
          <w:szCs w:val="22"/>
        </w:rPr>
      </w:pPr>
      <w:r w:rsidRPr="005B40AB">
        <w:rPr>
          <w:b/>
          <w:sz w:val="22"/>
          <w:szCs w:val="22"/>
        </w:rPr>
        <w:t xml:space="preserve"> Yes, (or) </w:t>
      </w:r>
      <w:r w:rsidRPr="005B40AB">
        <w:rPr>
          <w:b/>
          <w:sz w:val="22"/>
          <w:szCs w:val="22"/>
        </w:rPr>
        <w:t xml:space="preserve"> No </w:t>
      </w:r>
    </w:p>
    <w:p w14:paraId="48499A47" w14:textId="77777777" w:rsidR="00FD2BE4" w:rsidRPr="005B40AB" w:rsidRDefault="00FD2BE4" w:rsidP="00105B5E">
      <w:pPr>
        <w:pStyle w:val="Default"/>
        <w:jc w:val="both"/>
        <w:rPr>
          <w:sz w:val="22"/>
          <w:szCs w:val="22"/>
        </w:rPr>
      </w:pPr>
    </w:p>
    <w:p w14:paraId="4AB062B5" w14:textId="77777777" w:rsidR="00FD2BE4" w:rsidRPr="005B40AB" w:rsidRDefault="00FD2BE4" w:rsidP="00105B5E">
      <w:pPr>
        <w:pStyle w:val="Default"/>
        <w:jc w:val="both"/>
        <w:rPr>
          <w:sz w:val="22"/>
          <w:szCs w:val="22"/>
        </w:rPr>
      </w:pPr>
      <w:r w:rsidRPr="005B40AB">
        <w:rPr>
          <w:sz w:val="22"/>
          <w:szCs w:val="22"/>
        </w:rPr>
        <w:lastRenderedPageBreak/>
        <w:t xml:space="preserve">If Yes, </w:t>
      </w:r>
      <w:r w:rsidR="002119BB" w:rsidRPr="005B40AB">
        <w:rPr>
          <w:sz w:val="22"/>
          <w:szCs w:val="22"/>
        </w:rPr>
        <w:t>Subcontractor</w:t>
      </w:r>
      <w:r w:rsidRPr="005B40AB">
        <w:rPr>
          <w:sz w:val="22"/>
          <w:szCs w:val="22"/>
        </w:rPr>
        <w:t xml:space="preserve"> is not required to complete the remainder of this Section. Please complete the Authorized Signature of </w:t>
      </w:r>
      <w:r w:rsidR="002119BB" w:rsidRPr="005B40AB">
        <w:rPr>
          <w:sz w:val="22"/>
          <w:szCs w:val="22"/>
        </w:rPr>
        <w:t xml:space="preserve">Subcontractor </w:t>
      </w:r>
      <w:r w:rsidRPr="005B40AB">
        <w:rPr>
          <w:sz w:val="22"/>
          <w:szCs w:val="22"/>
        </w:rPr>
        <w:t xml:space="preserve">section. </w:t>
      </w:r>
    </w:p>
    <w:p w14:paraId="6BC791DE" w14:textId="77777777" w:rsidR="00FD2BE4" w:rsidRPr="005B40AB" w:rsidRDefault="00FD2BE4" w:rsidP="00105B5E">
      <w:pPr>
        <w:pStyle w:val="Default"/>
        <w:jc w:val="both"/>
        <w:rPr>
          <w:sz w:val="22"/>
          <w:szCs w:val="22"/>
        </w:rPr>
      </w:pPr>
    </w:p>
    <w:p w14:paraId="6233E2DD" w14:textId="072FC04C" w:rsidR="00FD2BE4" w:rsidRPr="005B40AB" w:rsidRDefault="00FD2BE4" w:rsidP="00105B5E">
      <w:pPr>
        <w:pStyle w:val="Default"/>
        <w:jc w:val="both"/>
        <w:rPr>
          <w:sz w:val="22"/>
          <w:szCs w:val="22"/>
        </w:rPr>
      </w:pPr>
      <w:r w:rsidRPr="005B40AB">
        <w:rPr>
          <w:sz w:val="22"/>
          <w:szCs w:val="22"/>
        </w:rPr>
        <w:t>If No, proceed to (</w:t>
      </w:r>
      <w:r w:rsidR="005B40AB" w:rsidRPr="005B40AB">
        <w:rPr>
          <w:sz w:val="22"/>
          <w:szCs w:val="22"/>
        </w:rPr>
        <w:t>5</w:t>
      </w:r>
      <w:r w:rsidRPr="005B40AB">
        <w:rPr>
          <w:sz w:val="22"/>
          <w:szCs w:val="22"/>
        </w:rPr>
        <w:t xml:space="preserve">), below. </w:t>
      </w:r>
    </w:p>
    <w:p w14:paraId="7B9323CE" w14:textId="77777777" w:rsidR="00FD2BE4" w:rsidRPr="005B40AB" w:rsidRDefault="00FD2BE4" w:rsidP="00105B5E">
      <w:pPr>
        <w:pStyle w:val="Default"/>
        <w:jc w:val="both"/>
        <w:rPr>
          <w:sz w:val="22"/>
          <w:szCs w:val="22"/>
        </w:rPr>
      </w:pPr>
    </w:p>
    <w:p w14:paraId="56D188C6" w14:textId="299DEE01" w:rsidR="00FD2BE4" w:rsidRPr="005B40AB" w:rsidRDefault="00AE7E4E" w:rsidP="00105B5E">
      <w:pPr>
        <w:pStyle w:val="Default"/>
        <w:jc w:val="both"/>
        <w:rPr>
          <w:sz w:val="22"/>
          <w:szCs w:val="22"/>
        </w:rPr>
      </w:pPr>
      <w:r w:rsidRPr="005B40AB">
        <w:rPr>
          <w:sz w:val="22"/>
          <w:szCs w:val="22"/>
        </w:rPr>
        <w:t>(</w:t>
      </w:r>
      <w:r w:rsidR="005B40AB" w:rsidRPr="005B40AB">
        <w:rPr>
          <w:sz w:val="22"/>
          <w:szCs w:val="22"/>
        </w:rPr>
        <w:t>5</w:t>
      </w:r>
      <w:r w:rsidR="00FD2BE4" w:rsidRPr="005B40AB">
        <w:rPr>
          <w:sz w:val="22"/>
          <w:szCs w:val="22"/>
        </w:rPr>
        <w:t xml:space="preserve">) </w:t>
      </w:r>
      <w:r w:rsidR="002119BB" w:rsidRPr="005B40AB">
        <w:rPr>
          <w:sz w:val="22"/>
          <w:szCs w:val="22"/>
        </w:rPr>
        <w:t>Subcontractor</w:t>
      </w:r>
      <w:r w:rsidR="00FD2BE4" w:rsidRPr="005B40AB">
        <w:rPr>
          <w:sz w:val="22"/>
          <w:szCs w:val="22"/>
        </w:rPr>
        <w:t xml:space="preserve"> must provide in the space below the names and Total Compensation of each of </w:t>
      </w:r>
      <w:r w:rsidR="002119BB" w:rsidRPr="005B40AB">
        <w:rPr>
          <w:sz w:val="22"/>
          <w:szCs w:val="22"/>
        </w:rPr>
        <w:t>Subcontractor</w:t>
      </w:r>
      <w:r w:rsidR="00FD2BE4" w:rsidRPr="005B40AB">
        <w:rPr>
          <w:sz w:val="22"/>
          <w:szCs w:val="22"/>
        </w:rPr>
        <w:t xml:space="preserve">'s five most highly compensated Executives for </w:t>
      </w:r>
      <w:r w:rsidR="002119BB" w:rsidRPr="005B40AB">
        <w:rPr>
          <w:sz w:val="22"/>
          <w:szCs w:val="22"/>
        </w:rPr>
        <w:t>Subcontractor</w:t>
      </w:r>
      <w:r w:rsidR="00FD2BE4" w:rsidRPr="005B40AB">
        <w:rPr>
          <w:sz w:val="22"/>
          <w:szCs w:val="22"/>
        </w:rPr>
        <w:t xml:space="preserve">'s preceding completed fiscal year: </w:t>
      </w:r>
    </w:p>
    <w:p w14:paraId="3F790658" w14:textId="77777777" w:rsidR="003F2F9B" w:rsidRPr="005B40AB" w:rsidRDefault="003F2F9B" w:rsidP="00105B5E">
      <w:pPr>
        <w:pStyle w:val="Default"/>
        <w:jc w:val="both"/>
        <w:rPr>
          <w:sz w:val="22"/>
          <w:szCs w:val="22"/>
        </w:rPr>
      </w:pPr>
    </w:p>
    <w:p w14:paraId="20F545D2" w14:textId="5D7AF0E4" w:rsidR="00FD2BE4" w:rsidRPr="005B40AB" w:rsidRDefault="00FD2BE4" w:rsidP="00105B5E">
      <w:pPr>
        <w:pStyle w:val="Default"/>
        <w:jc w:val="both"/>
        <w:rPr>
          <w:sz w:val="22"/>
          <w:szCs w:val="22"/>
        </w:rPr>
      </w:pPr>
      <w:r w:rsidRPr="005B40AB">
        <w:rPr>
          <w:sz w:val="22"/>
          <w:szCs w:val="22"/>
        </w:rPr>
        <w:t xml:space="preserve">Executive Name: </w:t>
      </w:r>
      <w:r w:rsidR="003F2F9B" w:rsidRPr="005B40AB">
        <w:rPr>
          <w:sz w:val="22"/>
          <w:szCs w:val="22"/>
        </w:rPr>
        <w:tab/>
      </w:r>
      <w:r w:rsidR="003F2F9B" w:rsidRPr="005B40AB">
        <w:rPr>
          <w:sz w:val="22"/>
          <w:szCs w:val="22"/>
        </w:rPr>
        <w:tab/>
      </w:r>
      <w:r w:rsidR="003F2F9B" w:rsidRPr="005B40AB">
        <w:rPr>
          <w:sz w:val="22"/>
          <w:szCs w:val="22"/>
        </w:rPr>
        <w:tab/>
      </w:r>
      <w:r w:rsidR="003F2F9B" w:rsidRPr="005B40AB">
        <w:rPr>
          <w:sz w:val="22"/>
          <w:szCs w:val="22"/>
        </w:rPr>
        <w:tab/>
      </w:r>
      <w:r w:rsidR="003F2F9B" w:rsidRPr="005B40AB">
        <w:rPr>
          <w:sz w:val="22"/>
          <w:szCs w:val="22"/>
        </w:rPr>
        <w:tab/>
      </w:r>
      <w:r w:rsidRPr="005B40AB">
        <w:rPr>
          <w:sz w:val="22"/>
          <w:szCs w:val="22"/>
        </w:rPr>
        <w:t xml:space="preserve">Executive Total Compensation: </w:t>
      </w:r>
    </w:p>
    <w:p w14:paraId="7C8459AF" w14:textId="77777777" w:rsidR="003F2F9B" w:rsidRPr="005B40AB" w:rsidRDefault="003F2F9B" w:rsidP="00105B5E">
      <w:pPr>
        <w:pStyle w:val="Default"/>
        <w:jc w:val="both"/>
        <w:rPr>
          <w:sz w:val="22"/>
          <w:szCs w:val="22"/>
        </w:rPr>
      </w:pPr>
    </w:p>
    <w:p w14:paraId="7C718AF4" w14:textId="77777777" w:rsidR="00FD2BE4" w:rsidRPr="005B40AB" w:rsidRDefault="00FD2BE4" w:rsidP="00105B5E">
      <w:pPr>
        <w:pStyle w:val="Default"/>
        <w:spacing w:after="165"/>
        <w:jc w:val="both"/>
        <w:rPr>
          <w:sz w:val="22"/>
          <w:szCs w:val="22"/>
        </w:rPr>
      </w:pPr>
      <w:r w:rsidRPr="005B40AB">
        <w:rPr>
          <w:sz w:val="22"/>
          <w:szCs w:val="22"/>
        </w:rPr>
        <w:t>(1)</w:t>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rPr>
        <w:t xml:space="preserve"> </w:t>
      </w:r>
    </w:p>
    <w:p w14:paraId="2AECA090" w14:textId="77777777" w:rsidR="00FD2BE4" w:rsidRPr="005B40AB" w:rsidRDefault="00FD2BE4" w:rsidP="00105B5E">
      <w:pPr>
        <w:pStyle w:val="Default"/>
        <w:spacing w:after="165"/>
        <w:jc w:val="both"/>
        <w:rPr>
          <w:sz w:val="22"/>
          <w:szCs w:val="22"/>
          <w:u w:val="single"/>
        </w:rPr>
      </w:pPr>
      <w:r w:rsidRPr="005B40AB">
        <w:rPr>
          <w:sz w:val="22"/>
          <w:szCs w:val="22"/>
        </w:rPr>
        <w:t xml:space="preserve">(2) </w:t>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p>
    <w:p w14:paraId="52D879C5" w14:textId="77777777" w:rsidR="00FD2BE4" w:rsidRPr="005B40AB" w:rsidRDefault="00FD2BE4" w:rsidP="00105B5E">
      <w:pPr>
        <w:pStyle w:val="Default"/>
        <w:spacing w:after="165"/>
        <w:jc w:val="both"/>
        <w:rPr>
          <w:sz w:val="22"/>
          <w:szCs w:val="22"/>
          <w:u w:val="single"/>
        </w:rPr>
      </w:pPr>
      <w:r w:rsidRPr="005B40AB">
        <w:rPr>
          <w:sz w:val="22"/>
          <w:szCs w:val="22"/>
        </w:rPr>
        <w:t xml:space="preserve">(3) </w:t>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p>
    <w:p w14:paraId="55C46304" w14:textId="77777777" w:rsidR="00FD2BE4" w:rsidRPr="005B40AB" w:rsidRDefault="00FD2BE4" w:rsidP="00105B5E">
      <w:pPr>
        <w:pStyle w:val="Default"/>
        <w:spacing w:after="165"/>
        <w:jc w:val="both"/>
        <w:rPr>
          <w:sz w:val="22"/>
          <w:szCs w:val="22"/>
        </w:rPr>
      </w:pPr>
      <w:r w:rsidRPr="005B40AB">
        <w:rPr>
          <w:sz w:val="22"/>
          <w:szCs w:val="22"/>
        </w:rPr>
        <w:t xml:space="preserve">(4) </w:t>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rPr>
        <w:t xml:space="preserve"> </w:t>
      </w:r>
    </w:p>
    <w:p w14:paraId="6A17723B" w14:textId="77777777" w:rsidR="00FD2BE4" w:rsidRPr="005B40AB" w:rsidRDefault="00FD2BE4" w:rsidP="00105B5E">
      <w:pPr>
        <w:pStyle w:val="Default"/>
        <w:jc w:val="both"/>
        <w:rPr>
          <w:sz w:val="22"/>
          <w:szCs w:val="22"/>
          <w:u w:val="single"/>
        </w:rPr>
      </w:pPr>
      <w:r w:rsidRPr="005B40AB">
        <w:rPr>
          <w:sz w:val="22"/>
          <w:szCs w:val="22"/>
        </w:rPr>
        <w:t xml:space="preserve">(5) </w:t>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r w:rsidRPr="005B40AB">
        <w:rPr>
          <w:sz w:val="22"/>
          <w:szCs w:val="22"/>
          <w:u w:val="single"/>
        </w:rPr>
        <w:tab/>
      </w:r>
    </w:p>
    <w:p w14:paraId="20864336" w14:textId="77777777" w:rsidR="00FD2BE4" w:rsidRPr="005B40AB" w:rsidRDefault="00FD2BE4" w:rsidP="00105B5E">
      <w:pPr>
        <w:pStyle w:val="Default"/>
        <w:jc w:val="both"/>
        <w:rPr>
          <w:sz w:val="22"/>
          <w:szCs w:val="22"/>
        </w:rPr>
      </w:pPr>
    </w:p>
    <w:p w14:paraId="59CD392B" w14:textId="77777777" w:rsidR="008C14A5" w:rsidRPr="005B40AB" w:rsidRDefault="008C14A5" w:rsidP="00105B5E">
      <w:pPr>
        <w:pStyle w:val="Default"/>
        <w:jc w:val="both"/>
        <w:rPr>
          <w:sz w:val="22"/>
          <w:szCs w:val="22"/>
        </w:rPr>
      </w:pPr>
    </w:p>
    <w:p w14:paraId="31171C8F" w14:textId="1A6FE7B7" w:rsidR="00FD2BE4" w:rsidRPr="005B40AB" w:rsidRDefault="002119BB" w:rsidP="00105B5E">
      <w:pPr>
        <w:pStyle w:val="Default"/>
        <w:jc w:val="both"/>
        <w:rPr>
          <w:sz w:val="22"/>
          <w:szCs w:val="22"/>
        </w:rPr>
      </w:pPr>
      <w:r w:rsidRPr="005B40AB">
        <w:rPr>
          <w:sz w:val="22"/>
          <w:szCs w:val="22"/>
        </w:rPr>
        <w:t>Subcontractor</w:t>
      </w:r>
      <w:r w:rsidR="00FD2BE4" w:rsidRPr="005B40AB">
        <w:rPr>
          <w:sz w:val="22"/>
          <w:szCs w:val="22"/>
        </w:rPr>
        <w:t xml:space="preserve"> hereby acknowledges and agrees that </w:t>
      </w:r>
      <w:r w:rsidRPr="005B40AB">
        <w:rPr>
          <w:sz w:val="22"/>
          <w:szCs w:val="22"/>
        </w:rPr>
        <w:t>Subcontractor</w:t>
      </w:r>
      <w:r w:rsidR="00FD2BE4" w:rsidRPr="005B40AB">
        <w:rPr>
          <w:sz w:val="22"/>
          <w:szCs w:val="22"/>
        </w:rPr>
        <w:t xml:space="preserve"> shall, at the time of a subcontract or Purchase Order award by </w:t>
      </w:r>
      <w:r w:rsidR="00366E89" w:rsidRPr="005B40AB">
        <w:rPr>
          <w:sz w:val="22"/>
          <w:szCs w:val="22"/>
        </w:rPr>
        <w:t>Trevet</w:t>
      </w:r>
      <w:r w:rsidR="00FD2BE4" w:rsidRPr="005B40AB">
        <w:rPr>
          <w:sz w:val="22"/>
          <w:szCs w:val="22"/>
        </w:rPr>
        <w:t xml:space="preserve"> to </w:t>
      </w:r>
      <w:r w:rsidRPr="005B40AB">
        <w:rPr>
          <w:sz w:val="22"/>
          <w:szCs w:val="22"/>
        </w:rPr>
        <w:t>Subcontractor</w:t>
      </w:r>
      <w:r w:rsidR="00FD2BE4" w:rsidRPr="005B40AB">
        <w:rPr>
          <w:sz w:val="22"/>
          <w:szCs w:val="22"/>
        </w:rPr>
        <w:t xml:space="preserve"> that is subject to FAR 52.204-10, provide Offeror's North American Industry Classification System (NAICS) code(s) that (is) are applicable to the specific subcontract or Purchase Order awarded. </w:t>
      </w:r>
    </w:p>
    <w:p w14:paraId="5EAF700A" w14:textId="77777777" w:rsidR="003F2F9B" w:rsidRPr="005B40AB" w:rsidRDefault="003F2F9B" w:rsidP="00105B5E">
      <w:pPr>
        <w:pStyle w:val="Default"/>
        <w:jc w:val="both"/>
        <w:rPr>
          <w:sz w:val="22"/>
          <w:szCs w:val="22"/>
        </w:rPr>
      </w:pPr>
    </w:p>
    <w:p w14:paraId="0B6A2486" w14:textId="43584A3C" w:rsidR="00176FCA" w:rsidRPr="005B40AB" w:rsidRDefault="00176FCA" w:rsidP="00105B5E">
      <w:pPr>
        <w:spacing w:after="0" w:line="240" w:lineRule="auto"/>
        <w:jc w:val="both"/>
        <w:rPr>
          <w:rFonts w:ascii="Times New Roman" w:hAnsi="Times New Roman" w:cs="Times New Roman"/>
          <w:b/>
          <w:bCs/>
        </w:rPr>
      </w:pPr>
      <w:r w:rsidRPr="005B40AB">
        <w:rPr>
          <w:rFonts w:ascii="Times New Roman" w:hAnsi="Times New Roman" w:cs="Times New Roman"/>
          <w:bCs/>
        </w:rPr>
        <w:t xml:space="preserve">The FSRS database at </w:t>
      </w:r>
      <w:hyperlink r:id="rId9" w:history="1">
        <w:r w:rsidR="002542BC" w:rsidRPr="00471145">
          <w:rPr>
            <w:rStyle w:val="Hyperlink"/>
            <w:rFonts w:ascii="Times New Roman" w:hAnsi="Times New Roman" w:cs="Times New Roman"/>
            <w:bCs/>
          </w:rPr>
          <w:t>http://www.sam.gov</w:t>
        </w:r>
      </w:hyperlink>
      <w:r w:rsidR="004B5E21" w:rsidRPr="005B40AB">
        <w:rPr>
          <w:rFonts w:ascii="Times New Roman" w:hAnsi="Times New Roman" w:cs="Times New Roman"/>
          <w:bCs/>
        </w:rPr>
        <w:t xml:space="preserve"> </w:t>
      </w:r>
      <w:r w:rsidRPr="005B40AB">
        <w:rPr>
          <w:rFonts w:ascii="Times New Roman" w:hAnsi="Times New Roman" w:cs="Times New Roman"/>
          <w:bCs/>
        </w:rPr>
        <w:t xml:space="preserve">will be prepopulated with some information from SAM and FPDS databases.   If FPDS information is incorrect, the </w:t>
      </w:r>
      <w:r w:rsidR="002119BB" w:rsidRPr="005B40AB">
        <w:rPr>
          <w:rFonts w:ascii="Times New Roman" w:hAnsi="Times New Roman" w:cs="Times New Roman"/>
          <w:bCs/>
        </w:rPr>
        <w:t>Subcontractor</w:t>
      </w:r>
      <w:r w:rsidRPr="005B40AB">
        <w:rPr>
          <w:rFonts w:ascii="Times New Roman" w:hAnsi="Times New Roman" w:cs="Times New Roman"/>
          <w:bCs/>
        </w:rPr>
        <w:t xml:space="preserve"> should notify </w:t>
      </w:r>
      <w:r w:rsidR="00366E89" w:rsidRPr="005B40AB">
        <w:rPr>
          <w:rFonts w:ascii="Times New Roman" w:hAnsi="Times New Roman" w:cs="Times New Roman"/>
          <w:bCs/>
        </w:rPr>
        <w:t>Trevet</w:t>
      </w:r>
      <w:r w:rsidR="004B5E21" w:rsidRPr="005B40AB">
        <w:rPr>
          <w:rFonts w:ascii="Times New Roman" w:hAnsi="Times New Roman" w:cs="Times New Roman"/>
          <w:bCs/>
        </w:rPr>
        <w:t xml:space="preserve"> immediately</w:t>
      </w:r>
      <w:r w:rsidRPr="005B40AB">
        <w:rPr>
          <w:rFonts w:ascii="Times New Roman" w:hAnsi="Times New Roman" w:cs="Times New Roman"/>
          <w:bCs/>
        </w:rPr>
        <w:t xml:space="preserve">. If the SAM database information is incorrect, the </w:t>
      </w:r>
      <w:r w:rsidR="002119BB" w:rsidRPr="005B40AB">
        <w:rPr>
          <w:rFonts w:ascii="Times New Roman" w:hAnsi="Times New Roman" w:cs="Times New Roman"/>
          <w:bCs/>
        </w:rPr>
        <w:t>Subcontractor</w:t>
      </w:r>
      <w:r w:rsidRPr="005B40AB">
        <w:rPr>
          <w:rFonts w:ascii="Times New Roman" w:hAnsi="Times New Roman" w:cs="Times New Roman"/>
          <w:bCs/>
        </w:rPr>
        <w:t xml:space="preserve"> is responsible for correcting this information.</w:t>
      </w:r>
    </w:p>
    <w:p w14:paraId="0207E9F2" w14:textId="77777777" w:rsidR="00E33658" w:rsidRPr="005B40AB" w:rsidRDefault="00E33658" w:rsidP="004B5E21">
      <w:pPr>
        <w:jc w:val="center"/>
        <w:rPr>
          <w:rFonts w:ascii="Times New Roman" w:hAnsi="Times New Roman" w:cs="Times New Roman"/>
          <w:b/>
          <w:bCs/>
        </w:rPr>
      </w:pPr>
    </w:p>
    <w:p w14:paraId="64C28B01" w14:textId="77777777" w:rsidR="005B40AB" w:rsidRPr="005B40AB" w:rsidRDefault="005B40AB">
      <w:pPr>
        <w:rPr>
          <w:rFonts w:ascii="Times New Roman" w:hAnsi="Times New Roman" w:cs="Times New Roman"/>
          <w:b/>
          <w:bCs/>
        </w:rPr>
      </w:pPr>
      <w:r w:rsidRPr="005B40AB">
        <w:rPr>
          <w:rFonts w:ascii="Times New Roman" w:hAnsi="Times New Roman" w:cs="Times New Roman"/>
          <w:b/>
          <w:bCs/>
        </w:rPr>
        <w:br w:type="page"/>
      </w:r>
    </w:p>
    <w:p w14:paraId="04A6A469" w14:textId="40F727E6" w:rsidR="00FD2BE4" w:rsidRPr="005B40AB" w:rsidRDefault="00FD2BE4" w:rsidP="004B5E21">
      <w:pPr>
        <w:jc w:val="center"/>
        <w:rPr>
          <w:rFonts w:ascii="Times New Roman" w:hAnsi="Times New Roman" w:cs="Times New Roman"/>
        </w:rPr>
      </w:pPr>
      <w:r w:rsidRPr="005B40AB">
        <w:rPr>
          <w:rFonts w:ascii="Times New Roman" w:hAnsi="Times New Roman" w:cs="Times New Roman"/>
          <w:b/>
          <w:bCs/>
        </w:rPr>
        <w:lastRenderedPageBreak/>
        <w:t xml:space="preserve">Authorized Signature of </w:t>
      </w:r>
      <w:r w:rsidR="002119BB" w:rsidRPr="005B40AB">
        <w:rPr>
          <w:rFonts w:ascii="Times New Roman" w:hAnsi="Times New Roman" w:cs="Times New Roman"/>
          <w:b/>
          <w:bCs/>
        </w:rPr>
        <w:t>Subcontractor</w:t>
      </w:r>
    </w:p>
    <w:p w14:paraId="07FE0C2B" w14:textId="77777777" w:rsidR="003F2F9B" w:rsidRPr="005B40AB" w:rsidRDefault="003F2F9B" w:rsidP="00FD2BE4">
      <w:pPr>
        <w:pStyle w:val="Default"/>
        <w:rPr>
          <w:sz w:val="22"/>
          <w:szCs w:val="22"/>
        </w:rPr>
      </w:pPr>
    </w:p>
    <w:p w14:paraId="382584AF" w14:textId="507847D9" w:rsidR="00FD2BE4" w:rsidRPr="005B40AB" w:rsidRDefault="00FD2BE4" w:rsidP="00FD2BE4">
      <w:pPr>
        <w:pStyle w:val="Default"/>
        <w:rPr>
          <w:sz w:val="22"/>
          <w:szCs w:val="22"/>
        </w:rPr>
      </w:pPr>
      <w:r w:rsidRPr="005B40AB">
        <w:rPr>
          <w:sz w:val="22"/>
          <w:szCs w:val="22"/>
        </w:rPr>
        <w:t xml:space="preserve">Certification of </w:t>
      </w:r>
      <w:r w:rsidR="002119BB" w:rsidRPr="005B40AB">
        <w:rPr>
          <w:sz w:val="22"/>
          <w:szCs w:val="22"/>
        </w:rPr>
        <w:t>Subcontractor</w:t>
      </w:r>
      <w:r w:rsidRPr="005B40AB">
        <w:rPr>
          <w:sz w:val="22"/>
          <w:szCs w:val="22"/>
        </w:rPr>
        <w:t xml:space="preserve">'s Authorized Representative: </w:t>
      </w:r>
    </w:p>
    <w:p w14:paraId="12600B91" w14:textId="77777777" w:rsidR="003F2F9B" w:rsidRPr="005B40AB" w:rsidRDefault="003F2F9B" w:rsidP="003F2F9B">
      <w:pPr>
        <w:pStyle w:val="Default"/>
        <w:jc w:val="both"/>
        <w:rPr>
          <w:sz w:val="22"/>
          <w:szCs w:val="22"/>
        </w:rPr>
      </w:pPr>
    </w:p>
    <w:p w14:paraId="09A86C08" w14:textId="499FFE12" w:rsidR="00FD2BE4" w:rsidRPr="005B40AB" w:rsidRDefault="00FD2BE4" w:rsidP="003F2F9B">
      <w:pPr>
        <w:pStyle w:val="Default"/>
        <w:jc w:val="both"/>
        <w:rPr>
          <w:sz w:val="22"/>
          <w:szCs w:val="22"/>
        </w:rPr>
      </w:pPr>
      <w:r w:rsidRPr="005B40AB">
        <w:rPr>
          <w:sz w:val="22"/>
          <w:szCs w:val="22"/>
        </w:rPr>
        <w:t xml:space="preserve">By submitting this information, I am attesting to the accuracy of the information contained herein. I understand that I may be subject to penalties imposed by the United States Government if I misrepresent any of the representations or certifications herein. </w:t>
      </w:r>
      <w:r w:rsidR="0057062F" w:rsidRPr="005B40AB">
        <w:rPr>
          <w:sz w:val="22"/>
          <w:szCs w:val="22"/>
        </w:rPr>
        <w:t xml:space="preserve">Subcontractor </w:t>
      </w:r>
      <w:r w:rsidRPr="005B40AB">
        <w:rPr>
          <w:sz w:val="22"/>
          <w:szCs w:val="22"/>
        </w:rPr>
        <w:t xml:space="preserve">further acknowledges that </w:t>
      </w:r>
      <w:r w:rsidR="00366E89" w:rsidRPr="005B40AB">
        <w:rPr>
          <w:sz w:val="22"/>
          <w:szCs w:val="22"/>
        </w:rPr>
        <w:t>Trevet</w:t>
      </w:r>
      <w:r w:rsidRPr="005B40AB">
        <w:rPr>
          <w:sz w:val="22"/>
          <w:szCs w:val="22"/>
        </w:rPr>
        <w:t xml:space="preserve"> shall rely on the information provided by </w:t>
      </w:r>
      <w:r w:rsidR="002119BB" w:rsidRPr="005B40AB">
        <w:rPr>
          <w:sz w:val="22"/>
          <w:szCs w:val="22"/>
        </w:rPr>
        <w:t>Subcontractor</w:t>
      </w:r>
      <w:r w:rsidRPr="005B40AB">
        <w:rPr>
          <w:sz w:val="22"/>
          <w:szCs w:val="22"/>
        </w:rPr>
        <w:t xml:space="preserve"> and that if any of </w:t>
      </w:r>
      <w:r w:rsidR="0057062F" w:rsidRPr="005B40AB">
        <w:rPr>
          <w:sz w:val="22"/>
          <w:szCs w:val="22"/>
        </w:rPr>
        <w:t xml:space="preserve">Subcontractor’s </w:t>
      </w:r>
      <w:r w:rsidRPr="005B40AB">
        <w:rPr>
          <w:sz w:val="22"/>
          <w:szCs w:val="22"/>
        </w:rPr>
        <w:t>representations change d</w:t>
      </w:r>
      <w:r w:rsidR="0057062F" w:rsidRPr="005B40AB">
        <w:rPr>
          <w:sz w:val="22"/>
          <w:szCs w:val="22"/>
        </w:rPr>
        <w:t xml:space="preserve">uring the period of performance, Subcontractor </w:t>
      </w:r>
      <w:r w:rsidRPr="005B40AB">
        <w:rPr>
          <w:sz w:val="22"/>
          <w:szCs w:val="22"/>
        </w:rPr>
        <w:t xml:space="preserve">shall provide immediate written notice to the </w:t>
      </w:r>
      <w:r w:rsidR="00366E89" w:rsidRPr="005B40AB">
        <w:rPr>
          <w:sz w:val="22"/>
          <w:szCs w:val="22"/>
        </w:rPr>
        <w:t>Trevet</w:t>
      </w:r>
      <w:r w:rsidRPr="005B40AB">
        <w:rPr>
          <w:sz w:val="22"/>
          <w:szCs w:val="22"/>
        </w:rPr>
        <w:t xml:space="preserve"> </w:t>
      </w:r>
      <w:r w:rsidR="0057062F" w:rsidRPr="005B40AB">
        <w:rPr>
          <w:sz w:val="22"/>
          <w:szCs w:val="22"/>
        </w:rPr>
        <w:t>Contracts Department</w:t>
      </w:r>
      <w:r w:rsidRPr="005B40AB">
        <w:rPr>
          <w:sz w:val="22"/>
          <w:szCs w:val="22"/>
        </w:rPr>
        <w:t xml:space="preserve">. </w:t>
      </w:r>
    </w:p>
    <w:p w14:paraId="1D4524C8" w14:textId="77777777" w:rsidR="003F2F9B" w:rsidRPr="005B40AB" w:rsidRDefault="003F2F9B" w:rsidP="00FD2BE4">
      <w:pPr>
        <w:pStyle w:val="Default"/>
        <w:rPr>
          <w:sz w:val="22"/>
          <w:szCs w:val="22"/>
        </w:rPr>
      </w:pPr>
    </w:p>
    <w:p w14:paraId="00A0D724" w14:textId="77777777" w:rsidR="00B130CD" w:rsidRPr="005B40AB" w:rsidRDefault="00B130CD" w:rsidP="00FD2BE4">
      <w:pPr>
        <w:pStyle w:val="Default"/>
        <w:rPr>
          <w:b/>
          <w:sz w:val="22"/>
          <w:szCs w:val="22"/>
        </w:rPr>
      </w:pPr>
    </w:p>
    <w:p w14:paraId="356A2252" w14:textId="77777777" w:rsidR="002119BB" w:rsidRPr="005B40AB" w:rsidRDefault="002119BB" w:rsidP="00FD2BE4">
      <w:pPr>
        <w:pStyle w:val="Default"/>
        <w:rPr>
          <w:b/>
          <w:sz w:val="22"/>
          <w:szCs w:val="22"/>
        </w:rPr>
      </w:pPr>
    </w:p>
    <w:p w14:paraId="43B37E01" w14:textId="77777777" w:rsidR="00E33658" w:rsidRPr="005B40AB" w:rsidRDefault="00E33658" w:rsidP="00E33658">
      <w:pPr>
        <w:pStyle w:val="Default"/>
        <w:rPr>
          <w:b/>
          <w:sz w:val="22"/>
          <w:szCs w:val="22"/>
        </w:rPr>
      </w:pPr>
      <w:r w:rsidRPr="005B40AB">
        <w:rPr>
          <w:b/>
          <w:sz w:val="22"/>
          <w:szCs w:val="22"/>
        </w:rPr>
        <w:t xml:space="preserve">Company: </w:t>
      </w:r>
      <w:r w:rsidRPr="005B40AB">
        <w:rPr>
          <w:b/>
          <w:sz w:val="22"/>
          <w:szCs w:val="22"/>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rPr>
        <w:t xml:space="preserve"> </w:t>
      </w:r>
    </w:p>
    <w:p w14:paraId="57F5C5FA" w14:textId="77777777" w:rsidR="00E33658" w:rsidRPr="005B40AB" w:rsidRDefault="00E33658" w:rsidP="00E33658">
      <w:pPr>
        <w:pStyle w:val="Default"/>
        <w:rPr>
          <w:b/>
          <w:sz w:val="22"/>
          <w:szCs w:val="22"/>
        </w:rPr>
      </w:pPr>
    </w:p>
    <w:p w14:paraId="0AB8EAF4" w14:textId="77777777" w:rsidR="00E33658" w:rsidRPr="005B40AB" w:rsidRDefault="00E33658" w:rsidP="00E33658">
      <w:pPr>
        <w:pStyle w:val="Default"/>
        <w:rPr>
          <w:b/>
          <w:sz w:val="22"/>
          <w:szCs w:val="22"/>
        </w:rPr>
      </w:pPr>
    </w:p>
    <w:p w14:paraId="731A5207" w14:textId="77777777" w:rsidR="003F2F9B" w:rsidRPr="005B40AB" w:rsidRDefault="00FD2BE4" w:rsidP="00FD2BE4">
      <w:pPr>
        <w:pStyle w:val="Default"/>
        <w:rPr>
          <w:b/>
          <w:sz w:val="22"/>
          <w:szCs w:val="22"/>
        </w:rPr>
      </w:pPr>
      <w:r w:rsidRPr="005B40AB">
        <w:rPr>
          <w:b/>
          <w:sz w:val="22"/>
          <w:szCs w:val="22"/>
        </w:rPr>
        <w:t xml:space="preserve">Signature: </w:t>
      </w:r>
      <w:r w:rsidR="003F2F9B" w:rsidRPr="005B40AB">
        <w:rPr>
          <w:b/>
          <w:sz w:val="22"/>
          <w:szCs w:val="22"/>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Pr="005B40AB">
        <w:rPr>
          <w:b/>
          <w:sz w:val="22"/>
          <w:szCs w:val="22"/>
        </w:rPr>
        <w:t xml:space="preserve"> </w:t>
      </w:r>
    </w:p>
    <w:p w14:paraId="53C9CA02" w14:textId="77777777" w:rsidR="003F2F9B" w:rsidRPr="005B40AB" w:rsidRDefault="003F2F9B" w:rsidP="00FD2BE4">
      <w:pPr>
        <w:pStyle w:val="Default"/>
        <w:rPr>
          <w:b/>
          <w:sz w:val="22"/>
          <w:szCs w:val="22"/>
        </w:rPr>
      </w:pPr>
    </w:p>
    <w:p w14:paraId="7F57851E" w14:textId="77777777" w:rsidR="00B130CD" w:rsidRPr="005B40AB" w:rsidRDefault="00B130CD" w:rsidP="00FD2BE4">
      <w:pPr>
        <w:pStyle w:val="Default"/>
        <w:rPr>
          <w:b/>
          <w:sz w:val="22"/>
          <w:szCs w:val="22"/>
        </w:rPr>
      </w:pPr>
    </w:p>
    <w:p w14:paraId="5B9ABA4C" w14:textId="77777777" w:rsidR="00FD2BE4" w:rsidRPr="005B40AB" w:rsidRDefault="00FD2BE4" w:rsidP="00FD2BE4">
      <w:pPr>
        <w:pStyle w:val="Default"/>
        <w:rPr>
          <w:b/>
          <w:sz w:val="22"/>
          <w:szCs w:val="22"/>
        </w:rPr>
      </w:pPr>
      <w:r w:rsidRPr="005B40AB">
        <w:rPr>
          <w:b/>
          <w:sz w:val="22"/>
          <w:szCs w:val="22"/>
        </w:rPr>
        <w:t>Name (print):</w:t>
      </w:r>
      <w:r w:rsidR="00AE7E4E" w:rsidRPr="005B40AB">
        <w:rPr>
          <w:b/>
          <w:sz w:val="22"/>
          <w:szCs w:val="22"/>
        </w:rPr>
        <w:tab/>
      </w:r>
      <w:r w:rsidRPr="005B40AB">
        <w:rPr>
          <w:b/>
          <w:sz w:val="22"/>
          <w:szCs w:val="22"/>
        </w:rPr>
        <w:t xml:space="preserve"> </w:t>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Pr="005B40AB">
        <w:rPr>
          <w:b/>
          <w:sz w:val="22"/>
          <w:szCs w:val="22"/>
        </w:rPr>
        <w:t xml:space="preserve"> </w:t>
      </w:r>
    </w:p>
    <w:p w14:paraId="59E9CCC0" w14:textId="77777777" w:rsidR="003F2F9B" w:rsidRPr="005B40AB" w:rsidRDefault="003F2F9B" w:rsidP="00FD2BE4">
      <w:pPr>
        <w:pStyle w:val="Default"/>
        <w:rPr>
          <w:b/>
          <w:sz w:val="22"/>
          <w:szCs w:val="22"/>
        </w:rPr>
      </w:pPr>
    </w:p>
    <w:p w14:paraId="7960C51A" w14:textId="77777777" w:rsidR="00B130CD" w:rsidRPr="005B40AB" w:rsidRDefault="00B130CD" w:rsidP="00FD2BE4">
      <w:pPr>
        <w:pStyle w:val="Default"/>
        <w:rPr>
          <w:b/>
          <w:sz w:val="22"/>
          <w:szCs w:val="22"/>
        </w:rPr>
      </w:pPr>
    </w:p>
    <w:p w14:paraId="1076711B" w14:textId="77777777" w:rsidR="003F2F9B" w:rsidRPr="005B40AB" w:rsidRDefault="00FD2BE4" w:rsidP="00FD2BE4">
      <w:pPr>
        <w:pStyle w:val="Default"/>
        <w:rPr>
          <w:b/>
          <w:sz w:val="22"/>
          <w:szCs w:val="22"/>
        </w:rPr>
      </w:pPr>
      <w:r w:rsidRPr="005B40AB">
        <w:rPr>
          <w:b/>
          <w:sz w:val="22"/>
          <w:szCs w:val="22"/>
        </w:rPr>
        <w:t xml:space="preserve">Title (print): </w:t>
      </w:r>
      <w:r w:rsidR="003F2F9B" w:rsidRPr="005B40AB">
        <w:rPr>
          <w:b/>
          <w:sz w:val="22"/>
          <w:szCs w:val="22"/>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Pr="005B40AB">
        <w:rPr>
          <w:b/>
          <w:sz w:val="22"/>
          <w:szCs w:val="22"/>
        </w:rPr>
        <w:t xml:space="preserve"> </w:t>
      </w:r>
    </w:p>
    <w:p w14:paraId="2ADDD9A0" w14:textId="77777777" w:rsidR="003F2F9B" w:rsidRPr="005B40AB" w:rsidRDefault="003F2F9B" w:rsidP="00FD2BE4">
      <w:pPr>
        <w:pStyle w:val="Default"/>
        <w:rPr>
          <w:b/>
          <w:sz w:val="22"/>
          <w:szCs w:val="22"/>
        </w:rPr>
      </w:pPr>
    </w:p>
    <w:p w14:paraId="1BF2872D" w14:textId="77777777" w:rsidR="00B130CD" w:rsidRPr="005B40AB" w:rsidRDefault="00B130CD" w:rsidP="00FD2BE4">
      <w:pPr>
        <w:pStyle w:val="Default"/>
        <w:rPr>
          <w:b/>
          <w:sz w:val="22"/>
          <w:szCs w:val="22"/>
        </w:rPr>
      </w:pPr>
    </w:p>
    <w:p w14:paraId="423877BA" w14:textId="77777777" w:rsidR="00FD2BE4" w:rsidRPr="005B40AB" w:rsidRDefault="00FD2BE4" w:rsidP="00FD2BE4">
      <w:pPr>
        <w:pStyle w:val="Default"/>
        <w:rPr>
          <w:b/>
          <w:sz w:val="22"/>
          <w:szCs w:val="22"/>
          <w:u w:val="single"/>
        </w:rPr>
      </w:pPr>
      <w:r w:rsidRPr="005B40AB">
        <w:rPr>
          <w:b/>
          <w:sz w:val="22"/>
          <w:szCs w:val="22"/>
        </w:rPr>
        <w:t xml:space="preserve">Date: </w:t>
      </w:r>
      <w:r w:rsidR="003F2F9B" w:rsidRPr="005B40AB">
        <w:rPr>
          <w:b/>
          <w:sz w:val="22"/>
          <w:szCs w:val="22"/>
        </w:rPr>
        <w:tab/>
      </w:r>
      <w:r w:rsidR="003F2F9B" w:rsidRPr="005B40AB">
        <w:rPr>
          <w:b/>
          <w:sz w:val="22"/>
          <w:szCs w:val="22"/>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r w:rsidR="003F2F9B" w:rsidRPr="005B40AB">
        <w:rPr>
          <w:b/>
          <w:sz w:val="22"/>
          <w:szCs w:val="22"/>
          <w:u w:val="single"/>
        </w:rPr>
        <w:tab/>
      </w:r>
    </w:p>
    <w:p w14:paraId="0B56051F" w14:textId="77777777" w:rsidR="00AE7E4E" w:rsidRPr="005B40AB" w:rsidRDefault="00AE7E4E" w:rsidP="00FD2BE4">
      <w:pPr>
        <w:pStyle w:val="Default"/>
        <w:rPr>
          <w:b/>
          <w:sz w:val="22"/>
          <w:szCs w:val="22"/>
          <w:u w:val="single"/>
        </w:rPr>
      </w:pPr>
    </w:p>
    <w:p w14:paraId="7E0F34F9" w14:textId="77777777" w:rsidR="00AE7E4E" w:rsidRPr="005B40AB" w:rsidRDefault="00AE7E4E" w:rsidP="00AE7E4E">
      <w:pPr>
        <w:pStyle w:val="Default"/>
        <w:rPr>
          <w:b/>
          <w:sz w:val="22"/>
          <w:szCs w:val="22"/>
        </w:rPr>
      </w:pPr>
    </w:p>
    <w:p w14:paraId="287035EF" w14:textId="2B767903" w:rsidR="00AE7E4E" w:rsidRPr="005B40AB" w:rsidRDefault="005320BB" w:rsidP="00AE7E4E">
      <w:pPr>
        <w:pStyle w:val="Default"/>
        <w:rPr>
          <w:b/>
          <w:sz w:val="22"/>
          <w:szCs w:val="22"/>
        </w:rPr>
      </w:pPr>
      <w:bookmarkStart w:id="0" w:name="_Hlk134790694"/>
      <w:r>
        <w:rPr>
          <w:b/>
          <w:sz w:val="22"/>
          <w:szCs w:val="22"/>
        </w:rPr>
        <w:t>UEI</w:t>
      </w:r>
      <w:r w:rsidR="00AE7E4E" w:rsidRPr="005B40AB">
        <w:rPr>
          <w:b/>
          <w:sz w:val="22"/>
          <w:szCs w:val="22"/>
        </w:rPr>
        <w:t xml:space="preserve">#: </w:t>
      </w:r>
      <w:r>
        <w:rPr>
          <w:b/>
          <w:sz w:val="22"/>
          <w:szCs w:val="22"/>
        </w:rPr>
        <w:tab/>
      </w:r>
      <w:r w:rsidR="00AE7E4E" w:rsidRPr="005B40AB">
        <w:rPr>
          <w:b/>
          <w:sz w:val="22"/>
          <w:szCs w:val="22"/>
        </w:rPr>
        <w:tab/>
      </w:r>
      <w:r w:rsidR="00AE7E4E" w:rsidRPr="005B40AB">
        <w:rPr>
          <w:b/>
          <w:sz w:val="22"/>
          <w:szCs w:val="22"/>
          <w:u w:val="single"/>
        </w:rPr>
        <w:tab/>
      </w:r>
      <w:r w:rsidR="00AE7E4E" w:rsidRPr="005B40AB">
        <w:rPr>
          <w:b/>
          <w:sz w:val="22"/>
          <w:szCs w:val="22"/>
          <w:u w:val="single"/>
        </w:rPr>
        <w:tab/>
      </w:r>
      <w:r w:rsidR="00AE7E4E" w:rsidRPr="005B40AB">
        <w:rPr>
          <w:b/>
          <w:sz w:val="22"/>
          <w:szCs w:val="22"/>
          <w:u w:val="single"/>
        </w:rPr>
        <w:tab/>
      </w:r>
      <w:r w:rsidR="00AE7E4E" w:rsidRPr="005B40AB">
        <w:rPr>
          <w:b/>
          <w:sz w:val="22"/>
          <w:szCs w:val="22"/>
          <w:u w:val="single"/>
        </w:rPr>
        <w:tab/>
      </w:r>
      <w:r w:rsidR="00AE7E4E" w:rsidRPr="005B40AB">
        <w:rPr>
          <w:b/>
          <w:sz w:val="22"/>
          <w:szCs w:val="22"/>
          <w:u w:val="single"/>
        </w:rPr>
        <w:tab/>
      </w:r>
      <w:r w:rsidR="00AE7E4E" w:rsidRPr="005B40AB">
        <w:rPr>
          <w:b/>
          <w:sz w:val="22"/>
          <w:szCs w:val="22"/>
          <w:u w:val="single"/>
        </w:rPr>
        <w:tab/>
      </w:r>
      <w:r w:rsidR="00AE7E4E" w:rsidRPr="005B40AB">
        <w:rPr>
          <w:b/>
          <w:sz w:val="22"/>
          <w:szCs w:val="22"/>
          <w:u w:val="single"/>
        </w:rPr>
        <w:tab/>
      </w:r>
      <w:r w:rsidR="00AE7E4E" w:rsidRPr="005B40AB">
        <w:rPr>
          <w:b/>
          <w:sz w:val="22"/>
          <w:szCs w:val="22"/>
          <w:u w:val="single"/>
        </w:rPr>
        <w:tab/>
      </w:r>
      <w:r w:rsidR="00AE7E4E" w:rsidRPr="005B40AB">
        <w:rPr>
          <w:b/>
          <w:sz w:val="22"/>
          <w:szCs w:val="22"/>
          <w:u w:val="single"/>
        </w:rPr>
        <w:tab/>
      </w:r>
    </w:p>
    <w:p w14:paraId="73D1E6DD" w14:textId="77777777" w:rsidR="00AE7E4E" w:rsidRDefault="00AE7E4E" w:rsidP="00FD2BE4">
      <w:pPr>
        <w:pStyle w:val="Default"/>
        <w:rPr>
          <w:b/>
          <w:sz w:val="22"/>
          <w:szCs w:val="22"/>
        </w:rPr>
      </w:pPr>
    </w:p>
    <w:bookmarkEnd w:id="0"/>
    <w:p w14:paraId="6261E4BB" w14:textId="77777777" w:rsidR="002542BC" w:rsidRDefault="002542BC" w:rsidP="00343568">
      <w:pPr>
        <w:pStyle w:val="Default"/>
        <w:rPr>
          <w:b/>
          <w:sz w:val="22"/>
          <w:szCs w:val="22"/>
        </w:rPr>
      </w:pPr>
    </w:p>
    <w:p w14:paraId="67F2447C" w14:textId="75C35A08" w:rsidR="00343568" w:rsidRPr="005B40AB" w:rsidRDefault="00343568" w:rsidP="00343568">
      <w:pPr>
        <w:pStyle w:val="Default"/>
        <w:rPr>
          <w:b/>
          <w:sz w:val="22"/>
          <w:szCs w:val="22"/>
        </w:rPr>
      </w:pPr>
      <w:proofErr w:type="gramStart"/>
      <w:r>
        <w:rPr>
          <w:b/>
          <w:sz w:val="22"/>
          <w:szCs w:val="22"/>
        </w:rPr>
        <w:t>TIN</w:t>
      </w:r>
      <w:r w:rsidRPr="005B40AB">
        <w:rPr>
          <w:b/>
          <w:sz w:val="22"/>
          <w:szCs w:val="22"/>
        </w:rPr>
        <w:t>#:</w:t>
      </w:r>
      <w:proofErr w:type="gramEnd"/>
      <w:r w:rsidRPr="005B40AB">
        <w:rPr>
          <w:b/>
          <w:sz w:val="22"/>
          <w:szCs w:val="22"/>
        </w:rPr>
        <w:t xml:space="preserve"> </w:t>
      </w:r>
      <w:r>
        <w:rPr>
          <w:b/>
          <w:sz w:val="22"/>
          <w:szCs w:val="22"/>
        </w:rPr>
        <w:tab/>
      </w:r>
      <w:r w:rsidRPr="005B40AB">
        <w:rPr>
          <w:b/>
          <w:sz w:val="22"/>
          <w:szCs w:val="22"/>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r w:rsidRPr="005B40AB">
        <w:rPr>
          <w:b/>
          <w:sz w:val="22"/>
          <w:szCs w:val="22"/>
          <w:u w:val="single"/>
        </w:rPr>
        <w:tab/>
      </w:r>
    </w:p>
    <w:p w14:paraId="40CF335D" w14:textId="77777777" w:rsidR="00343568" w:rsidRPr="005B40AB" w:rsidRDefault="00343568" w:rsidP="00FD2BE4">
      <w:pPr>
        <w:pStyle w:val="Default"/>
        <w:rPr>
          <w:b/>
          <w:sz w:val="22"/>
          <w:szCs w:val="22"/>
        </w:rPr>
      </w:pPr>
    </w:p>
    <w:sectPr w:rsidR="00343568" w:rsidRPr="005B40AB" w:rsidSect="00FD2BE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7C90" w14:textId="77777777" w:rsidR="001160F9" w:rsidRDefault="001160F9" w:rsidP="00B130CD">
      <w:pPr>
        <w:spacing w:after="0" w:line="240" w:lineRule="auto"/>
      </w:pPr>
      <w:r>
        <w:separator/>
      </w:r>
    </w:p>
  </w:endnote>
  <w:endnote w:type="continuationSeparator" w:id="0">
    <w:p w14:paraId="477E66D6" w14:textId="77777777" w:rsidR="001160F9" w:rsidRDefault="001160F9" w:rsidP="00B1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1085" w14:textId="3F78CA17" w:rsidR="00B130CD" w:rsidRPr="00B130CD" w:rsidRDefault="00B130CD" w:rsidP="00B130CD">
    <w:pPr>
      <w:pStyle w:val="Footer"/>
      <w:rPr>
        <w:rFonts w:ascii="Times New Roman" w:hAnsi="Times New Roman" w:cs="Times New Roman"/>
        <w:sz w:val="20"/>
        <w:szCs w:val="20"/>
      </w:rPr>
    </w:pPr>
    <w:r w:rsidRPr="00B130CD">
      <w:rPr>
        <w:rFonts w:ascii="Times New Roman" w:hAnsi="Times New Roman" w:cs="Times New Roman"/>
        <w:sz w:val="20"/>
        <w:szCs w:val="20"/>
      </w:rPr>
      <w:tab/>
      <w:t xml:space="preserve">Page </w:t>
    </w:r>
    <w:r w:rsidR="000172FD" w:rsidRPr="00B130CD">
      <w:rPr>
        <w:rStyle w:val="PageNumber"/>
        <w:rFonts w:ascii="Times New Roman" w:hAnsi="Times New Roman" w:cs="Times New Roman"/>
        <w:sz w:val="20"/>
        <w:szCs w:val="20"/>
      </w:rPr>
      <w:fldChar w:fldCharType="begin"/>
    </w:r>
    <w:r w:rsidRPr="00B130CD">
      <w:rPr>
        <w:rStyle w:val="PageNumber"/>
        <w:rFonts w:ascii="Times New Roman" w:hAnsi="Times New Roman" w:cs="Times New Roman"/>
        <w:sz w:val="20"/>
        <w:szCs w:val="20"/>
      </w:rPr>
      <w:instrText xml:space="preserve"> PAGE </w:instrText>
    </w:r>
    <w:r w:rsidR="000172FD" w:rsidRPr="00B130CD">
      <w:rPr>
        <w:rStyle w:val="PageNumber"/>
        <w:rFonts w:ascii="Times New Roman" w:hAnsi="Times New Roman" w:cs="Times New Roman"/>
        <w:sz w:val="20"/>
        <w:szCs w:val="20"/>
      </w:rPr>
      <w:fldChar w:fldCharType="separate"/>
    </w:r>
    <w:r w:rsidR="002E5B50">
      <w:rPr>
        <w:rStyle w:val="PageNumber"/>
        <w:rFonts w:ascii="Times New Roman" w:hAnsi="Times New Roman" w:cs="Times New Roman"/>
        <w:noProof/>
        <w:sz w:val="20"/>
        <w:szCs w:val="20"/>
      </w:rPr>
      <w:t>1</w:t>
    </w:r>
    <w:r w:rsidR="000172FD" w:rsidRPr="00B130CD">
      <w:rPr>
        <w:rStyle w:val="PageNumber"/>
        <w:rFonts w:ascii="Times New Roman" w:hAnsi="Times New Roman" w:cs="Times New Roman"/>
        <w:sz w:val="20"/>
        <w:szCs w:val="20"/>
      </w:rPr>
      <w:fldChar w:fldCharType="end"/>
    </w:r>
    <w:r w:rsidRPr="00B130CD">
      <w:rPr>
        <w:rStyle w:val="PageNumber"/>
        <w:rFonts w:ascii="Times New Roman" w:hAnsi="Times New Roman" w:cs="Times New Roman"/>
        <w:sz w:val="20"/>
        <w:szCs w:val="20"/>
      </w:rPr>
      <w:t xml:space="preserve"> of </w:t>
    </w:r>
    <w:r w:rsidR="000172FD" w:rsidRPr="00B130CD">
      <w:rPr>
        <w:rStyle w:val="PageNumber"/>
        <w:rFonts w:ascii="Times New Roman" w:hAnsi="Times New Roman" w:cs="Times New Roman"/>
        <w:sz w:val="20"/>
        <w:szCs w:val="20"/>
      </w:rPr>
      <w:fldChar w:fldCharType="begin"/>
    </w:r>
    <w:r w:rsidRPr="00B130CD">
      <w:rPr>
        <w:rStyle w:val="PageNumber"/>
        <w:rFonts w:ascii="Times New Roman" w:hAnsi="Times New Roman" w:cs="Times New Roman"/>
        <w:sz w:val="20"/>
        <w:szCs w:val="20"/>
      </w:rPr>
      <w:instrText xml:space="preserve"> NUMPAGES </w:instrText>
    </w:r>
    <w:r w:rsidR="000172FD" w:rsidRPr="00B130CD">
      <w:rPr>
        <w:rStyle w:val="PageNumber"/>
        <w:rFonts w:ascii="Times New Roman" w:hAnsi="Times New Roman" w:cs="Times New Roman"/>
        <w:sz w:val="20"/>
        <w:szCs w:val="20"/>
      </w:rPr>
      <w:fldChar w:fldCharType="separate"/>
    </w:r>
    <w:r w:rsidR="002E5B50">
      <w:rPr>
        <w:rStyle w:val="PageNumber"/>
        <w:rFonts w:ascii="Times New Roman" w:hAnsi="Times New Roman" w:cs="Times New Roman"/>
        <w:noProof/>
        <w:sz w:val="20"/>
        <w:szCs w:val="20"/>
      </w:rPr>
      <w:t>3</w:t>
    </w:r>
    <w:r w:rsidR="000172FD" w:rsidRPr="00B130CD">
      <w:rPr>
        <w:rStyle w:val="PageNumber"/>
        <w:rFonts w:ascii="Times New Roman" w:hAnsi="Times New Roman" w:cs="Times New Roman"/>
        <w:sz w:val="20"/>
        <w:szCs w:val="20"/>
      </w:rPr>
      <w:fldChar w:fldCharType="end"/>
    </w:r>
    <w:r w:rsidRPr="00B130CD">
      <w:rPr>
        <w:rStyle w:val="PageNumber"/>
        <w:rFonts w:ascii="Times New Roman" w:hAnsi="Times New Roman" w:cs="Times New Roman"/>
        <w:sz w:val="20"/>
        <w:szCs w:val="20"/>
      </w:rPr>
      <w:tab/>
    </w:r>
    <w:r w:rsidR="002542BC">
      <w:rPr>
        <w:rStyle w:val="PageNumber"/>
        <w:rFonts w:ascii="Times New Roman" w:hAnsi="Times New Roman" w:cs="Times New Roman"/>
        <w:sz w:val="20"/>
        <w:szCs w:val="20"/>
      </w:rPr>
      <w:t>March 2025</w:t>
    </w:r>
  </w:p>
  <w:p w14:paraId="4FD8B693" w14:textId="77777777" w:rsidR="00B130CD" w:rsidRDefault="00B1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59FE0" w14:textId="77777777" w:rsidR="001160F9" w:rsidRDefault="001160F9" w:rsidP="00B130CD">
      <w:pPr>
        <w:spacing w:after="0" w:line="240" w:lineRule="auto"/>
      </w:pPr>
      <w:r>
        <w:separator/>
      </w:r>
    </w:p>
  </w:footnote>
  <w:footnote w:type="continuationSeparator" w:id="0">
    <w:p w14:paraId="50D04D99" w14:textId="77777777" w:rsidR="001160F9" w:rsidRDefault="001160F9" w:rsidP="00B1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699F" w14:textId="12D1F088" w:rsidR="008C14A5" w:rsidRDefault="004F0C7B" w:rsidP="004F0C7B">
    <w:pPr>
      <w:pStyle w:val="Default"/>
      <w:ind w:left="720" w:firstLine="720"/>
      <w:rPr>
        <w:b/>
        <w:bCs/>
      </w:rPr>
    </w:pPr>
    <w:r>
      <w:rPr>
        <w:b/>
        <w:noProof/>
      </w:rPr>
      <w:drawing>
        <wp:anchor distT="0" distB="0" distL="114300" distR="114300" simplePos="0" relativeHeight="251659264" behindDoc="0" locked="0" layoutInCell="1" allowOverlap="1" wp14:anchorId="387DDF30" wp14:editId="46A6D1AD">
          <wp:simplePos x="0" y="0"/>
          <wp:positionH relativeFrom="margin">
            <wp:posOffset>3590925</wp:posOffset>
          </wp:positionH>
          <wp:positionV relativeFrom="paragraph">
            <wp:posOffset>-266700</wp:posOffset>
          </wp:positionV>
          <wp:extent cx="1414145" cy="717550"/>
          <wp:effectExtent l="0" t="0" r="0" b="6350"/>
          <wp:wrapNone/>
          <wp:docPr id="1656272984"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B50">
      <w:rPr>
        <w:b/>
        <w:bCs/>
        <w:noProof/>
      </w:rPr>
      <w:drawing>
        <wp:inline distT="0" distB="0" distL="0" distR="0" wp14:anchorId="0E8D1099" wp14:editId="1B34E931">
          <wp:extent cx="1607185" cy="398145"/>
          <wp:effectExtent l="0" t="0" r="0" b="1905"/>
          <wp:docPr id="2" name="Picture 2" descr="Trevet logo-PMS 2758 &amp; 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vet logo-PMS 2758 &amp; 75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185" cy="398145"/>
                  </a:xfrm>
                  <a:prstGeom prst="rect">
                    <a:avLst/>
                  </a:prstGeom>
                  <a:noFill/>
                  <a:ln>
                    <a:noFill/>
                  </a:ln>
                </pic:spPr>
              </pic:pic>
            </a:graphicData>
          </a:graphic>
        </wp:inline>
      </w:drawing>
    </w:r>
  </w:p>
  <w:p w14:paraId="3FAEDF6A" w14:textId="77777777" w:rsidR="008C14A5" w:rsidRDefault="008C14A5" w:rsidP="008C14A5">
    <w:pPr>
      <w:pStyle w:val="Default"/>
      <w:jc w:val="center"/>
      <w:rPr>
        <w:b/>
        <w:bCs/>
      </w:rPr>
    </w:pPr>
  </w:p>
  <w:p w14:paraId="32BDB981" w14:textId="77777777" w:rsidR="0023652D" w:rsidRPr="0023652D" w:rsidRDefault="0023652D" w:rsidP="008C14A5">
    <w:pPr>
      <w:pStyle w:val="Default"/>
      <w:jc w:val="center"/>
      <w:rPr>
        <w:b/>
        <w:bCs/>
      </w:rPr>
    </w:pPr>
    <w:r>
      <w:rPr>
        <w:b/>
        <w:bCs/>
      </w:rPr>
      <w:t xml:space="preserve">PART 2 - </w:t>
    </w:r>
    <w:r w:rsidRPr="00441068">
      <w:rPr>
        <w:b/>
        <w:bCs/>
      </w:rPr>
      <w:t>OFFEROR REPRESEN</w:t>
    </w:r>
    <w:r>
      <w:rPr>
        <w:b/>
        <w:bCs/>
      </w:rPr>
      <w:t>T</w:t>
    </w:r>
    <w:r w:rsidR="008C14A5">
      <w:rPr>
        <w:b/>
        <w:bCs/>
      </w:rPr>
      <w:t xml:space="preserve">ATIONS AND </w:t>
    </w:r>
    <w:r w:rsidRPr="00441068">
      <w:rPr>
        <w:b/>
        <w:bCs/>
      </w:rPr>
      <w:t>CERTIFICATIONS</w:t>
    </w:r>
  </w:p>
  <w:p w14:paraId="33825518" w14:textId="77777777" w:rsidR="00B130CD" w:rsidRDefault="00B13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E4"/>
    <w:rsid w:val="000172FD"/>
    <w:rsid w:val="00040FD3"/>
    <w:rsid w:val="000479DF"/>
    <w:rsid w:val="00064985"/>
    <w:rsid w:val="000B1CFD"/>
    <w:rsid w:val="000D28AF"/>
    <w:rsid w:val="00102AEA"/>
    <w:rsid w:val="00105B5E"/>
    <w:rsid w:val="001160F9"/>
    <w:rsid w:val="0015479C"/>
    <w:rsid w:val="00176FCA"/>
    <w:rsid w:val="001845E9"/>
    <w:rsid w:val="0019416C"/>
    <w:rsid w:val="001B08BB"/>
    <w:rsid w:val="001C790B"/>
    <w:rsid w:val="002119BB"/>
    <w:rsid w:val="0023652D"/>
    <w:rsid w:val="002542BC"/>
    <w:rsid w:val="002801F0"/>
    <w:rsid w:val="002A6A76"/>
    <w:rsid w:val="002D6BDC"/>
    <w:rsid w:val="002E5B50"/>
    <w:rsid w:val="00343568"/>
    <w:rsid w:val="00362CBC"/>
    <w:rsid w:val="00366E89"/>
    <w:rsid w:val="0037636B"/>
    <w:rsid w:val="003E1C06"/>
    <w:rsid w:val="003E3586"/>
    <w:rsid w:val="003F2F9B"/>
    <w:rsid w:val="004B5E21"/>
    <w:rsid w:val="004E6805"/>
    <w:rsid w:val="004F0C7B"/>
    <w:rsid w:val="00501E56"/>
    <w:rsid w:val="005320BB"/>
    <w:rsid w:val="0057062F"/>
    <w:rsid w:val="005B40AB"/>
    <w:rsid w:val="005C4700"/>
    <w:rsid w:val="00654E5C"/>
    <w:rsid w:val="00674C57"/>
    <w:rsid w:val="006B7F2C"/>
    <w:rsid w:val="006F77BD"/>
    <w:rsid w:val="007004D6"/>
    <w:rsid w:val="007D1E97"/>
    <w:rsid w:val="007E3D75"/>
    <w:rsid w:val="00806C20"/>
    <w:rsid w:val="00814002"/>
    <w:rsid w:val="008C14A5"/>
    <w:rsid w:val="008D5416"/>
    <w:rsid w:val="00941783"/>
    <w:rsid w:val="009A3A6C"/>
    <w:rsid w:val="00AE7966"/>
    <w:rsid w:val="00AE7E4E"/>
    <w:rsid w:val="00B130CD"/>
    <w:rsid w:val="00B1571B"/>
    <w:rsid w:val="00C72A4F"/>
    <w:rsid w:val="00C76CF3"/>
    <w:rsid w:val="00CA1D8E"/>
    <w:rsid w:val="00D15694"/>
    <w:rsid w:val="00D27BF0"/>
    <w:rsid w:val="00D6619A"/>
    <w:rsid w:val="00D766A4"/>
    <w:rsid w:val="00E33658"/>
    <w:rsid w:val="00F03401"/>
    <w:rsid w:val="00F64699"/>
    <w:rsid w:val="00FD08EA"/>
    <w:rsid w:val="00FD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65C4"/>
  <w15:docId w15:val="{7DAEA4E4-EEEB-4D55-B13B-E2D0B472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BE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B130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0CD"/>
  </w:style>
  <w:style w:type="paragraph" w:styleId="Footer">
    <w:name w:val="footer"/>
    <w:basedOn w:val="Normal"/>
    <w:link w:val="FooterChar"/>
    <w:unhideWhenUsed/>
    <w:rsid w:val="00B130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0CD"/>
  </w:style>
  <w:style w:type="character" w:styleId="PageNumber">
    <w:name w:val="page number"/>
    <w:basedOn w:val="DefaultParagraphFont"/>
    <w:rsid w:val="00B130CD"/>
  </w:style>
  <w:style w:type="character" w:styleId="Hyperlink">
    <w:name w:val="Hyperlink"/>
    <w:basedOn w:val="DefaultParagraphFont"/>
    <w:uiPriority w:val="99"/>
    <w:unhideWhenUsed/>
    <w:rsid w:val="00176FCA"/>
    <w:rPr>
      <w:color w:val="0000FF" w:themeColor="hyperlink"/>
      <w:u w:val="single"/>
    </w:rPr>
  </w:style>
  <w:style w:type="paragraph" w:customStyle="1" w:styleId="listl1">
    <w:name w:val="listl1"/>
    <w:basedOn w:val="Normal"/>
    <w:rsid w:val="00F646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4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gov/answers/execomp.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scode.house.gov/view.xhtml?req=granuleid:USC-prelim-title15-section78m&amp;num=0&amp;edition=preli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rs.go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m.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Debbie Eytchison</cp:lastModifiedBy>
  <cp:revision>2</cp:revision>
  <cp:lastPrinted>2015-04-02T20:00:00Z</cp:lastPrinted>
  <dcterms:created xsi:type="dcterms:W3CDTF">2025-03-07T16:46:00Z</dcterms:created>
  <dcterms:modified xsi:type="dcterms:W3CDTF">2025-03-07T16:46:00Z</dcterms:modified>
</cp:coreProperties>
</file>